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D8FF" w14:textId="743B8EF1" w:rsidR="00723DF7" w:rsidRPr="0004586D" w:rsidRDefault="0096300F" w:rsidP="0004586D">
      <w:pPr>
        <w:pStyle w:val="Title"/>
        <w:rPr>
          <w:i/>
          <w:iCs/>
          <w:sz w:val="28"/>
          <w:szCs w:val="28"/>
        </w:rPr>
      </w:pPr>
      <w:r w:rsidRPr="0004586D">
        <w:rPr>
          <w:noProof/>
        </w:rPr>
        <w:drawing>
          <wp:anchor distT="0" distB="0" distL="114300" distR="114300" simplePos="0" relativeHeight="251658240" behindDoc="0" locked="0" layoutInCell="1" allowOverlap="1" wp14:anchorId="78CCA0C6" wp14:editId="29FA8FD2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464820" cy="730250"/>
            <wp:effectExtent l="0" t="0" r="0" b="0"/>
            <wp:wrapTopAndBottom/>
            <wp:docPr id="1" name="Picture 1" descr="Town &amp; Country Planning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&amp; Country Planning Associ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DF7" w:rsidRPr="0004586D">
        <w:rPr>
          <w:rFonts w:eastAsia="Calibri" w:cs="Times New Roman"/>
          <w:sz w:val="28"/>
          <w:szCs w:val="28"/>
        </w:rPr>
        <w:t xml:space="preserve">Worksheet Stage </w:t>
      </w:r>
      <w:r w:rsidR="181EAC13" w:rsidRPr="0004586D">
        <w:rPr>
          <w:rFonts w:eastAsia="Calibri" w:cs="Times New Roman"/>
          <w:sz w:val="28"/>
          <w:szCs w:val="28"/>
        </w:rPr>
        <w:t>2</w:t>
      </w:r>
      <w:r w:rsidR="00723DF7" w:rsidRPr="0004586D">
        <w:rPr>
          <w:rFonts w:eastAsia="Calibri" w:cs="Times New Roman"/>
          <w:sz w:val="28"/>
          <w:szCs w:val="28"/>
        </w:rPr>
        <w:t xml:space="preserve">: </w:t>
      </w:r>
      <w:r w:rsidR="00240A33" w:rsidRPr="0004586D">
        <w:rPr>
          <w:rFonts w:eastAsia="Calibri" w:cs="Times New Roman"/>
          <w:sz w:val="28"/>
          <w:szCs w:val="28"/>
        </w:rPr>
        <w:t xml:space="preserve">Taking stock </w:t>
      </w:r>
      <w:r w:rsidR="00B54E82" w:rsidRPr="0004586D">
        <w:rPr>
          <w:rFonts w:eastAsia="Calibri" w:cs="Times New Roman"/>
          <w:sz w:val="28"/>
          <w:szCs w:val="28"/>
        </w:rPr>
        <w:t xml:space="preserve">of project details and </w:t>
      </w:r>
      <w:proofErr w:type="gramStart"/>
      <w:r w:rsidR="00B54E82" w:rsidRPr="0004586D">
        <w:rPr>
          <w:rFonts w:eastAsia="Calibri" w:cs="Times New Roman"/>
          <w:sz w:val="28"/>
          <w:szCs w:val="28"/>
        </w:rPr>
        <w:t>opportunity</w:t>
      </w:r>
      <w:proofErr w:type="gramEnd"/>
      <w:r w:rsidR="00240A33" w:rsidRPr="0004586D">
        <w:rPr>
          <w:rFonts w:eastAsia="Calibri" w:cs="Times New Roman"/>
          <w:sz w:val="28"/>
          <w:szCs w:val="28"/>
        </w:rPr>
        <w:t xml:space="preserve"> </w:t>
      </w:r>
      <w:r w:rsidR="00723DF7" w:rsidRPr="0004586D">
        <w:rPr>
          <w:i/>
          <w:iCs/>
          <w:sz w:val="28"/>
          <w:szCs w:val="28"/>
        </w:rPr>
        <w:t xml:space="preserve"> </w:t>
      </w:r>
    </w:p>
    <w:p w14:paraId="6BEC63E6" w14:textId="0078E22D" w:rsidR="00295304" w:rsidRPr="00BE6D86" w:rsidRDefault="00295304" w:rsidP="00295304">
      <w:pPr>
        <w:rPr>
          <w:i/>
          <w:iCs/>
        </w:rPr>
      </w:pPr>
      <w:r w:rsidRPr="00BE6D86">
        <w:rPr>
          <w:i/>
          <w:iCs/>
        </w:rPr>
        <w:t xml:space="preserve">The content of this worksheet is intended </w:t>
      </w:r>
      <w:r w:rsidR="00BE6D86" w:rsidRPr="00BE6D86">
        <w:rPr>
          <w:i/>
          <w:iCs/>
        </w:rPr>
        <w:t>to provide</w:t>
      </w:r>
      <w:r w:rsidRPr="00BE6D86">
        <w:rPr>
          <w:i/>
          <w:iCs/>
        </w:rPr>
        <w:t xml:space="preserve"> prompts only. Please amend to suit your place, </w:t>
      </w:r>
      <w:proofErr w:type="gramStart"/>
      <w:r w:rsidRPr="00BE6D86">
        <w:rPr>
          <w:i/>
          <w:iCs/>
        </w:rPr>
        <w:t>project</w:t>
      </w:r>
      <w:proofErr w:type="gramEnd"/>
      <w:r w:rsidRPr="00BE6D86">
        <w:rPr>
          <w:i/>
          <w:iCs/>
        </w:rPr>
        <w:t xml:space="preserve"> or approach.</w:t>
      </w:r>
      <w:r w:rsidR="00B7397B">
        <w:rPr>
          <w:i/>
          <w:iCs/>
        </w:rPr>
        <w:t xml:space="preserve"> </w:t>
      </w:r>
      <w:r w:rsidR="00B7397B" w:rsidRPr="00B7397B">
        <w:rPr>
          <w:i/>
          <w:iCs/>
        </w:rPr>
        <w:t xml:space="preserve">The questions and prompts have, where possible sought to include prompts provided in the </w:t>
      </w:r>
      <w:hyperlink r:id="rId11" w:history="1">
        <w:r w:rsidR="00B7397B" w:rsidRPr="006F12E4">
          <w:rPr>
            <w:rStyle w:val="Hyperlink"/>
            <w:i/>
            <w:iCs/>
          </w:rPr>
          <w:t>Homes England Garden Communities Toolkit</w:t>
        </w:r>
      </w:hyperlink>
      <w:r w:rsidR="00B7397B" w:rsidRPr="00B7397B">
        <w:rPr>
          <w:i/>
          <w:iCs/>
        </w:rPr>
        <w:t xml:space="preserve"> and </w:t>
      </w:r>
      <w:hyperlink r:id="rId12" w:history="1">
        <w:r w:rsidR="00B7397B" w:rsidRPr="007F2FDA">
          <w:rPr>
            <w:rStyle w:val="Hyperlink"/>
            <w:i/>
            <w:iCs/>
          </w:rPr>
          <w:t>Building with Nature Standards Framework</w:t>
        </w:r>
      </w:hyperlink>
      <w:r w:rsidR="00B7397B" w:rsidRPr="00B7397B">
        <w:rPr>
          <w:i/>
          <w:iCs/>
        </w:rPr>
        <w:t xml:space="preserve">. </w:t>
      </w:r>
      <w:r w:rsidR="00EA0B6D">
        <w:rPr>
          <w:i/>
          <w:iCs/>
        </w:rPr>
        <w:t xml:space="preserve">The content of this worksheet might help with other stages, too. </w:t>
      </w:r>
      <w:r w:rsidR="005F5683">
        <w:rPr>
          <w:i/>
          <w:iCs/>
        </w:rPr>
        <w:t xml:space="preserve">If you get stuck, work through the </w:t>
      </w:r>
      <w:proofErr w:type="gramStart"/>
      <w:r w:rsidR="005F5683">
        <w:rPr>
          <w:i/>
          <w:iCs/>
        </w:rPr>
        <w:t>stages</w:t>
      </w:r>
      <w:proofErr w:type="gramEnd"/>
      <w:r w:rsidR="005F5683">
        <w:rPr>
          <w:i/>
          <w:iCs/>
        </w:rPr>
        <w:t xml:space="preserve"> and return back, when needed.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850"/>
        <w:gridCol w:w="941"/>
      </w:tblGrid>
      <w:tr w:rsidR="002F3C54" w:rsidRPr="00BC4FBA" w14:paraId="69C9DE3D" w14:textId="77777777" w:rsidTr="00D53F14">
        <w:tc>
          <w:tcPr>
            <w:tcW w:w="9016" w:type="dxa"/>
            <w:gridSpan w:val="4"/>
          </w:tcPr>
          <w:p w14:paraId="18B16DB1" w14:textId="11B689A1" w:rsidR="002F3C54" w:rsidRPr="00BC4FBA" w:rsidRDefault="002F3C54" w:rsidP="00D53F14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C4FBA">
              <w:rPr>
                <w:rFonts w:eastAsia="Calibri" w:cs="Times New Roman"/>
                <w:b/>
                <w:sz w:val="20"/>
                <w:szCs w:val="20"/>
              </w:rPr>
              <w:t xml:space="preserve">WORKSHEET Stage </w:t>
            </w:r>
            <w:r w:rsidR="00137C4A" w:rsidRPr="00BC4FBA"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BC4FBA">
              <w:rPr>
                <w:rFonts w:eastAsia="Calibri" w:cs="Times New Roman"/>
                <w:b/>
                <w:sz w:val="20"/>
                <w:szCs w:val="20"/>
              </w:rPr>
              <w:t xml:space="preserve">: </w:t>
            </w:r>
            <w:r w:rsidR="00137C4A" w:rsidRPr="00BC4FBA">
              <w:rPr>
                <w:rFonts w:eastAsia="Calibri" w:cs="Times New Roman"/>
                <w:b/>
                <w:sz w:val="20"/>
                <w:szCs w:val="20"/>
              </w:rPr>
              <w:t xml:space="preserve">Taking stock </w:t>
            </w:r>
            <w:r w:rsidR="009017C7" w:rsidRPr="00BC4FBA">
              <w:rPr>
                <w:rFonts w:eastAsia="Calibri" w:cs="Times New Roman"/>
                <w:b/>
                <w:sz w:val="20"/>
                <w:szCs w:val="20"/>
              </w:rPr>
              <w:t>of project details and opportunity</w:t>
            </w:r>
          </w:p>
        </w:tc>
      </w:tr>
      <w:tr w:rsidR="002F3C54" w:rsidRPr="00BC4FBA" w14:paraId="1588FEF7" w14:textId="77777777" w:rsidTr="004134C9">
        <w:tc>
          <w:tcPr>
            <w:tcW w:w="2972" w:type="dxa"/>
            <w:tcBorders>
              <w:bottom w:val="single" w:sz="4" w:space="0" w:color="auto"/>
            </w:tcBorders>
          </w:tcPr>
          <w:p w14:paraId="005FBA2F" w14:textId="77777777" w:rsidR="002F3C54" w:rsidRPr="00BC4FBA" w:rsidRDefault="002F3C54" w:rsidP="00D53F14">
            <w:pPr>
              <w:rPr>
                <w:rFonts w:eastAsia="Calibri" w:cs="Times New Roman"/>
                <w:sz w:val="20"/>
                <w:szCs w:val="20"/>
              </w:rPr>
            </w:pPr>
            <w:r w:rsidRPr="00BC4FBA">
              <w:rPr>
                <w:rFonts w:eastAsia="Calibri" w:cs="Times New Roman"/>
                <w:sz w:val="20"/>
                <w:szCs w:val="20"/>
              </w:rPr>
              <w:t xml:space="preserve">Key question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3763F63" w14:textId="77777777" w:rsidR="002F3C54" w:rsidRPr="00BC4FBA" w:rsidRDefault="002F3C54" w:rsidP="00D53F14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BC4FBA">
              <w:rPr>
                <w:rFonts w:eastAsia="Calibri" w:cs="Times New Roman"/>
                <w:i/>
                <w:sz w:val="20"/>
                <w:szCs w:val="20"/>
              </w:rPr>
              <w:t>Notes and supplementary considerations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6AC084" w14:textId="77777777" w:rsidR="002F3C54" w:rsidRPr="00BC4FBA" w:rsidRDefault="002F3C54" w:rsidP="00D53F14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C4FBA">
              <w:rPr>
                <w:rFonts w:eastAsia="Calibri" w:cs="Times New Roman"/>
                <w:b/>
                <w:sz w:val="20"/>
                <w:szCs w:val="20"/>
              </w:rPr>
              <w:t xml:space="preserve">Notes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0C683A15" w14:textId="77777777" w:rsidR="002F3C54" w:rsidRPr="00BC4FBA" w:rsidRDefault="002F3C54" w:rsidP="00D53F14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C4FBA">
              <w:rPr>
                <w:rFonts w:eastAsia="Calibri" w:cs="Times New Roman"/>
                <w:b/>
                <w:sz w:val="20"/>
                <w:szCs w:val="20"/>
              </w:rPr>
              <w:t xml:space="preserve">Next steps </w:t>
            </w:r>
          </w:p>
        </w:tc>
      </w:tr>
      <w:tr w:rsidR="002F3C54" w:rsidRPr="00BC4FBA" w14:paraId="6AF0B119" w14:textId="77777777" w:rsidTr="00D53F14">
        <w:tc>
          <w:tcPr>
            <w:tcW w:w="9016" w:type="dxa"/>
            <w:gridSpan w:val="4"/>
            <w:shd w:val="clear" w:color="auto" w:fill="F2F2F2"/>
          </w:tcPr>
          <w:p w14:paraId="43A9FA36" w14:textId="77777777" w:rsidR="002F3C54" w:rsidRPr="00BC4FBA" w:rsidRDefault="002F3C54" w:rsidP="00D53F14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C4FBA">
              <w:rPr>
                <w:rFonts w:eastAsia="Calibri" w:cs="Times New Roman"/>
                <w:b/>
                <w:sz w:val="20"/>
                <w:szCs w:val="20"/>
              </w:rPr>
              <w:t>Taking Stock</w:t>
            </w:r>
          </w:p>
        </w:tc>
      </w:tr>
      <w:tr w:rsidR="00BC4FBA" w:rsidRPr="00BC4FBA" w14:paraId="208C4CA4" w14:textId="77777777" w:rsidTr="004134C9">
        <w:tc>
          <w:tcPr>
            <w:tcW w:w="2972" w:type="dxa"/>
          </w:tcPr>
          <w:p w14:paraId="2EC6F0DD" w14:textId="2295EF66" w:rsidR="00BC4FBA" w:rsidRPr="00BC4FBA" w:rsidRDefault="00BC4FBA" w:rsidP="00BC4FB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C4FBA">
              <w:rPr>
                <w:b/>
                <w:bCs/>
                <w:sz w:val="20"/>
                <w:szCs w:val="20"/>
              </w:rPr>
              <w:t>Assets:</w:t>
            </w:r>
            <w:r w:rsidRPr="00BC4FBA">
              <w:rPr>
                <w:sz w:val="20"/>
                <w:szCs w:val="20"/>
              </w:rPr>
              <w:t xml:space="preserve"> The broad categories of assets to be provided in the development, and which of these might be owned/managed by a stewardship body. Where possible, include typology, extent, number. </w:t>
            </w:r>
          </w:p>
        </w:tc>
        <w:tc>
          <w:tcPr>
            <w:tcW w:w="4253" w:type="dxa"/>
          </w:tcPr>
          <w:p w14:paraId="40732A46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Parks and open spaces </w:t>
            </w:r>
          </w:p>
          <w:p w14:paraId="1D29886A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Children’s play areas </w:t>
            </w:r>
          </w:p>
          <w:p w14:paraId="5D62FAD6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Sports pitches </w:t>
            </w:r>
          </w:p>
          <w:p w14:paraId="393DC3A7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Community facilities such as village halls and meeting places </w:t>
            </w:r>
          </w:p>
          <w:p w14:paraId="1187A454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Leisure facilities (formal and informal) </w:t>
            </w:r>
          </w:p>
          <w:p w14:paraId="1BB7E902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Public realm areas such as public car parks, squares, etc. (highlight if it has potential to be income generating) </w:t>
            </w:r>
          </w:p>
          <w:p w14:paraId="7972B7EE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Private parking areas / driveways </w:t>
            </w:r>
          </w:p>
          <w:p w14:paraId="41072D3B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Verges and street lighting </w:t>
            </w:r>
          </w:p>
          <w:p w14:paraId="4B5F0F5E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Commercial property such as retail units, offices, business premises, etc </w:t>
            </w:r>
          </w:p>
          <w:p w14:paraId="18DD684F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Utilities related infrastructure such as </w:t>
            </w:r>
            <w:proofErr w:type="gramStart"/>
            <w:r w:rsidRPr="00BC4FBA">
              <w:rPr>
                <w:rFonts w:eastAsia="Calibri" w:cs="Times New Roman"/>
                <w:iCs/>
                <w:sz w:val="20"/>
                <w:szCs w:val="20"/>
              </w:rPr>
              <w:t>SUDs</w:t>
            </w:r>
            <w:proofErr w:type="gramEnd"/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 </w:t>
            </w:r>
          </w:p>
          <w:p w14:paraId="00F76C67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Energy related infrastructure </w:t>
            </w:r>
          </w:p>
          <w:p w14:paraId="2F066CC2" w14:textId="77777777" w:rsid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>Other</w:t>
            </w:r>
          </w:p>
          <w:p w14:paraId="43F4F8AF" w14:textId="77777777" w:rsidR="00624FF2" w:rsidRPr="00BC4FBA" w:rsidRDefault="00624FF2" w:rsidP="00624FF2">
            <w:pPr>
              <w:spacing w:after="0" w:line="240" w:lineRule="auto"/>
              <w:ind w:left="420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</w:p>
          <w:p w14:paraId="75BF1C85" w14:textId="60E8DB7C" w:rsidR="00BC4FBA" w:rsidRPr="00BC4FBA" w:rsidRDefault="00624FF2" w:rsidP="00BC4FBA">
            <w:p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 xml:space="preserve">See also: </w:t>
            </w:r>
            <w:r w:rsidR="002056BF">
              <w:rPr>
                <w:rFonts w:eastAsia="Calibri" w:cs="Times New Roman"/>
                <w:b/>
                <w:bCs/>
                <w:iCs/>
                <w:sz w:val="20"/>
                <w:szCs w:val="20"/>
              </w:rPr>
              <w:t>Table 1</w:t>
            </w:r>
            <w:r>
              <w:rPr>
                <w:rFonts w:eastAsia="Calibri" w:cs="Times New Roman"/>
                <w:iCs/>
                <w:sz w:val="20"/>
                <w:szCs w:val="20"/>
              </w:rPr>
              <w:t xml:space="preserve"> of </w:t>
            </w:r>
            <w:hyperlink r:id="rId13" w:history="1">
              <w:r w:rsidRPr="00DE123A">
                <w:rPr>
                  <w:rStyle w:val="Hyperlink"/>
                  <w:rFonts w:eastAsia="Calibri" w:cs="Times New Roman"/>
                  <w:iCs/>
                  <w:sz w:val="20"/>
                  <w:szCs w:val="20"/>
                </w:rPr>
                <w:t>Built Today, Treasured Tomorrow</w:t>
              </w:r>
            </w:hyperlink>
            <w:r>
              <w:rPr>
                <w:rFonts w:eastAsia="Calibri" w:cs="Times New Roman"/>
                <w:iCs/>
                <w:sz w:val="20"/>
                <w:szCs w:val="20"/>
              </w:rPr>
              <w:t xml:space="preserve"> (TCPA, 2014)</w:t>
            </w:r>
          </w:p>
        </w:tc>
        <w:tc>
          <w:tcPr>
            <w:tcW w:w="850" w:type="dxa"/>
          </w:tcPr>
          <w:p w14:paraId="3FB60012" w14:textId="77777777" w:rsidR="00BC4FBA" w:rsidRPr="00BC4FBA" w:rsidRDefault="00BC4FBA" w:rsidP="00BC4FB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442D7FCA" w14:textId="77777777" w:rsidR="00BC4FBA" w:rsidRPr="00BC4FBA" w:rsidRDefault="00BC4FBA" w:rsidP="00BC4FB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BC4FBA" w:rsidRPr="00BC4FBA" w14:paraId="3960BA70" w14:textId="77777777" w:rsidTr="004134C9">
        <w:tc>
          <w:tcPr>
            <w:tcW w:w="2972" w:type="dxa"/>
          </w:tcPr>
          <w:p w14:paraId="4164E467" w14:textId="6D0DDD2B" w:rsidR="00BC4FBA" w:rsidRPr="00BC4FBA" w:rsidRDefault="00BC4FBA" w:rsidP="00BC4FB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C4FBA">
              <w:rPr>
                <w:b/>
                <w:bCs/>
                <w:sz w:val="20"/>
                <w:szCs w:val="20"/>
              </w:rPr>
              <w:t>Remit:</w:t>
            </w:r>
            <w:r w:rsidRPr="00BC4FBA">
              <w:rPr>
                <w:sz w:val="20"/>
                <w:szCs w:val="20"/>
              </w:rPr>
              <w:t xml:space="preserve"> The role of the stewardship body in community development as well as asset management. This includes how the stewardship body might hold the assets.  </w:t>
            </w:r>
          </w:p>
        </w:tc>
        <w:tc>
          <w:tcPr>
            <w:tcW w:w="4253" w:type="dxa"/>
          </w:tcPr>
          <w:p w14:paraId="120E2FBC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>What community development role is required on site?</w:t>
            </w:r>
          </w:p>
          <w:p w14:paraId="454A0C40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What part could a stewardship body play in this? </w:t>
            </w:r>
          </w:p>
          <w:p w14:paraId="44C4BBA1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What type of management is required for each of the assets listed above? </w:t>
            </w:r>
          </w:p>
          <w:p w14:paraId="4A5EFB29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Which of the assets listed above might the stewardship body own, and which might it control? </w:t>
            </w:r>
          </w:p>
          <w:p w14:paraId="4CE6F743" w14:textId="38D62E69" w:rsidR="00BC4FBA" w:rsidRPr="00BC4FBA" w:rsidRDefault="00BC4FBA" w:rsidP="00BC4FBA">
            <w:p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What other functions might it have? </w:t>
            </w:r>
            <w:proofErr w:type="gramStart"/>
            <w:r w:rsidRPr="00BC4FBA">
              <w:rPr>
                <w:rFonts w:eastAsia="Calibri" w:cs="Times New Roman"/>
                <w:iCs/>
                <w:sz w:val="20"/>
                <w:szCs w:val="20"/>
              </w:rPr>
              <w:t>E.g.</w:t>
            </w:r>
            <w:proofErr w:type="gramEnd"/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 Farmland management, energy generation, local transport, arts and creative industry initiatives?</w:t>
            </w:r>
          </w:p>
        </w:tc>
        <w:tc>
          <w:tcPr>
            <w:tcW w:w="850" w:type="dxa"/>
          </w:tcPr>
          <w:p w14:paraId="53A8B20F" w14:textId="77777777" w:rsidR="00BC4FBA" w:rsidRPr="00BC4FBA" w:rsidRDefault="00BC4FBA" w:rsidP="00BC4FB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09C3D8CC" w14:textId="77777777" w:rsidR="00BC4FBA" w:rsidRPr="00BC4FBA" w:rsidRDefault="00BC4FBA" w:rsidP="00BC4FB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BC4FBA" w:rsidRPr="00BC4FBA" w14:paraId="6699B131" w14:textId="77777777" w:rsidTr="004134C9">
        <w:tc>
          <w:tcPr>
            <w:tcW w:w="2972" w:type="dxa"/>
          </w:tcPr>
          <w:p w14:paraId="4EDD3A98" w14:textId="47EAA58B" w:rsidR="00BC4FBA" w:rsidRPr="00BC4FBA" w:rsidRDefault="00BC4FBA" w:rsidP="00BC4FB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C4FBA">
              <w:rPr>
                <w:b/>
                <w:bCs/>
                <w:sz w:val="20"/>
                <w:szCs w:val="20"/>
              </w:rPr>
              <w:t>Governance:</w:t>
            </w:r>
            <w:r w:rsidRPr="00BC4FBA">
              <w:rPr>
                <w:sz w:val="20"/>
                <w:szCs w:val="20"/>
              </w:rPr>
              <w:t xml:space="preserve"> Any local governance structures that are already in place or proposed through the project </w:t>
            </w:r>
          </w:p>
        </w:tc>
        <w:tc>
          <w:tcPr>
            <w:tcW w:w="4253" w:type="dxa"/>
          </w:tcPr>
          <w:p w14:paraId="229AB636" w14:textId="77777777" w:rsidR="00BC4FBA" w:rsidRPr="00BC4FBA" w:rsidRDefault="00BC4FBA" w:rsidP="00D53F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>What Parish Councils (existing or proposed) - if any - are in place?</w:t>
            </w:r>
          </w:p>
          <w:p w14:paraId="244D00FF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Do you think the stewardship body should be controlled by the community it governs. </w:t>
            </w:r>
          </w:p>
          <w:p w14:paraId="46A124C8" w14:textId="392C0623" w:rsidR="00BC4FBA" w:rsidRPr="00BC4FBA" w:rsidRDefault="00BC4FBA" w:rsidP="00D53F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>Where the site involves renewal – are there Local Economic Partnerships who might be involved?</w:t>
            </w:r>
          </w:p>
        </w:tc>
        <w:tc>
          <w:tcPr>
            <w:tcW w:w="850" w:type="dxa"/>
          </w:tcPr>
          <w:p w14:paraId="2F0CDA6F" w14:textId="77777777" w:rsidR="00BC4FBA" w:rsidRPr="00BC4FBA" w:rsidRDefault="00BC4FBA" w:rsidP="00BC4FB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1B249CA2" w14:textId="77777777" w:rsidR="00BC4FBA" w:rsidRPr="00BC4FBA" w:rsidRDefault="00BC4FBA" w:rsidP="00BC4FB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FBA" w:rsidRPr="00BC4FBA" w14:paraId="50BFB025" w14:textId="77777777" w:rsidTr="004134C9">
        <w:tc>
          <w:tcPr>
            <w:tcW w:w="2972" w:type="dxa"/>
          </w:tcPr>
          <w:p w14:paraId="312F8370" w14:textId="0FDDA722" w:rsidR="00BC4FBA" w:rsidRPr="00BC4FBA" w:rsidRDefault="00BC4FBA" w:rsidP="00BC4FB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C4FBA">
              <w:rPr>
                <w:b/>
                <w:bCs/>
                <w:sz w:val="20"/>
                <w:szCs w:val="20"/>
              </w:rPr>
              <w:t>Land ownership:</w:t>
            </w:r>
            <w:r w:rsidRPr="00BC4FBA">
              <w:rPr>
                <w:sz w:val="20"/>
                <w:szCs w:val="20"/>
              </w:rPr>
              <w:t xml:space="preserve"> Who is the current landowner, who will be the landowner in the long-term, including whether any ownership might be transferred to the stewardship body.</w:t>
            </w:r>
          </w:p>
        </w:tc>
        <w:tc>
          <w:tcPr>
            <w:tcW w:w="4253" w:type="dxa"/>
          </w:tcPr>
          <w:p w14:paraId="68F43BD6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>Who is the current landowner?</w:t>
            </w:r>
          </w:p>
          <w:p w14:paraId="7CA879BF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Who is the intended long-term landowner? </w:t>
            </w:r>
          </w:p>
          <w:p w14:paraId="6653A200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>Could the stewardship body become all or partial landowner?</w:t>
            </w:r>
          </w:p>
          <w:p w14:paraId="317ABF87" w14:textId="77777777" w:rsidR="00BC4FBA" w:rsidRPr="00BC4FBA" w:rsidRDefault="00BC4FBA" w:rsidP="00BC4F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Is the landowner likely to want to work in partnership with a stewardship body? </w:t>
            </w:r>
          </w:p>
          <w:p w14:paraId="4B4AE1C8" w14:textId="4D127C9A" w:rsidR="00BC4FBA" w:rsidRPr="00BC4FBA" w:rsidRDefault="00BC4FBA" w:rsidP="00BC4FBA">
            <w:pPr>
              <w:spacing w:after="0" w:line="240" w:lineRule="auto"/>
              <w:ind w:left="42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What are the pros and cons of this? </w:t>
            </w:r>
          </w:p>
        </w:tc>
        <w:tc>
          <w:tcPr>
            <w:tcW w:w="850" w:type="dxa"/>
          </w:tcPr>
          <w:p w14:paraId="12C48635" w14:textId="77777777" w:rsidR="00BC4FBA" w:rsidRPr="00BC4FBA" w:rsidRDefault="00BC4FBA" w:rsidP="00BC4FB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185D5CD9" w14:textId="77777777" w:rsidR="00BC4FBA" w:rsidRPr="00BC4FBA" w:rsidRDefault="00BC4FBA" w:rsidP="00BC4FB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FBA" w:rsidRPr="00BC4FBA" w14:paraId="3F89C2BD" w14:textId="77777777" w:rsidTr="004134C9">
        <w:tc>
          <w:tcPr>
            <w:tcW w:w="2972" w:type="dxa"/>
          </w:tcPr>
          <w:p w14:paraId="64D567F0" w14:textId="45616A77" w:rsidR="00BC4FBA" w:rsidRPr="00BC4FBA" w:rsidRDefault="00BC4FBA" w:rsidP="00BC4FB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C4FBA">
              <w:rPr>
                <w:b/>
                <w:bCs/>
                <w:sz w:val="20"/>
                <w:szCs w:val="20"/>
              </w:rPr>
              <w:t>Finance:</w:t>
            </w:r>
            <w:r w:rsidRPr="00BC4FBA">
              <w:rPr>
                <w:sz w:val="20"/>
                <w:szCs w:val="20"/>
              </w:rPr>
              <w:t xml:space="preserve"> The council’s principal perspective on a funding model for stewardship in terms of the use of service charges and/or endowments. Initial estimates of the costs of managing and maintaining the assets in the long-term to inform a business plan. Potential sources of funding for the stewardship body</w:t>
            </w:r>
          </w:p>
        </w:tc>
        <w:tc>
          <w:tcPr>
            <w:tcW w:w="4253" w:type="dxa"/>
          </w:tcPr>
          <w:p w14:paraId="594302A0" w14:textId="77777777" w:rsidR="00BC4FBA" w:rsidRPr="00BC4FBA" w:rsidRDefault="00BC4FBA" w:rsidP="00BC4F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Does the council have a starting position on the use of service charges to pay for stewardship? </w:t>
            </w:r>
          </w:p>
          <w:p w14:paraId="7AC8966D" w14:textId="77777777" w:rsidR="00BC4FBA" w:rsidRPr="00BC4FBA" w:rsidRDefault="00BC4FBA" w:rsidP="00BC4F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>What type of capital investment will be needed?</w:t>
            </w:r>
          </w:p>
          <w:p w14:paraId="7C3FDFC9" w14:textId="77777777" w:rsidR="00BC4FBA" w:rsidRPr="00BC4FBA" w:rsidRDefault="00BC4FBA" w:rsidP="00BC4F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Development capital? Growth capital? Working capital? </w:t>
            </w:r>
          </w:p>
          <w:p w14:paraId="39791C87" w14:textId="77777777" w:rsidR="00BC4FBA" w:rsidRPr="00BC4FBA" w:rsidRDefault="00BC4FBA" w:rsidP="00BC4F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What revenue generating assets are included? </w:t>
            </w:r>
          </w:p>
          <w:p w14:paraId="76484048" w14:textId="7AD5B80F" w:rsidR="00BC4FBA" w:rsidRPr="00BC4FBA" w:rsidRDefault="00BC4FBA" w:rsidP="00BC4F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What might the initial costs of this be? </w:t>
            </w:r>
            <w:r w:rsidR="006E6648">
              <w:rPr>
                <w:rFonts w:eastAsia="Calibri" w:cs="Times New Roman"/>
                <w:iCs/>
                <w:sz w:val="20"/>
                <w:szCs w:val="20"/>
              </w:rPr>
              <w:t>(Perhaps the developer shave already prepared costs? Refer to Stage 4, too)</w:t>
            </w:r>
          </w:p>
          <w:p w14:paraId="3DAE454A" w14:textId="77777777" w:rsidR="00511C9F" w:rsidRDefault="00BC4FBA" w:rsidP="00BC4F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What potential funding sources are available? </w:t>
            </w:r>
          </w:p>
          <w:p w14:paraId="4CD6F0CF" w14:textId="3FE7E0F7" w:rsidR="00BC4FBA" w:rsidRPr="00511C9F" w:rsidRDefault="00BC4FBA" w:rsidP="00511C9F">
            <w:pPr>
              <w:spacing w:after="0" w:line="240" w:lineRule="auto"/>
              <w:ind w:left="60"/>
              <w:rPr>
                <w:rFonts w:eastAsia="Calibri" w:cs="Times New Roman"/>
                <w:iCs/>
                <w:sz w:val="20"/>
                <w:szCs w:val="20"/>
              </w:rPr>
            </w:pPr>
            <w:r w:rsidRPr="00511C9F">
              <w:rPr>
                <w:rFonts w:eastAsia="Calibri" w:cs="Times New Roman"/>
                <w:iCs/>
                <w:sz w:val="20"/>
                <w:szCs w:val="20"/>
              </w:rPr>
              <w:t>E.g.</w:t>
            </w:r>
          </w:p>
          <w:p w14:paraId="6CE10957" w14:textId="77777777" w:rsidR="00BC4FBA" w:rsidRPr="00BC4FBA" w:rsidRDefault="00BC4FBA" w:rsidP="00BC4F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BC4FBA">
              <w:rPr>
                <w:rFonts w:eastAsia="Calibri" w:cs="Times New Roman"/>
                <w:i/>
                <w:sz w:val="20"/>
                <w:szCs w:val="20"/>
              </w:rPr>
              <w:t xml:space="preserve">A cash endowment (if </w:t>
            </w:r>
            <w:proofErr w:type="gramStart"/>
            <w:r w:rsidRPr="00BC4FBA">
              <w:rPr>
                <w:rFonts w:eastAsia="Calibri" w:cs="Times New Roman"/>
                <w:i/>
                <w:sz w:val="20"/>
                <w:szCs w:val="20"/>
              </w:rPr>
              <w:t>so</w:t>
            </w:r>
            <w:proofErr w:type="gramEnd"/>
            <w:r w:rsidRPr="00BC4FBA">
              <w:rPr>
                <w:rFonts w:eastAsia="Calibri" w:cs="Times New Roman"/>
                <w:i/>
                <w:sz w:val="20"/>
                <w:szCs w:val="20"/>
              </w:rPr>
              <w:t xml:space="preserve"> where will the endowment come from? how will the size of the endowment be calculated?) </w:t>
            </w:r>
          </w:p>
          <w:p w14:paraId="10304E23" w14:textId="77777777" w:rsidR="00BC4FBA" w:rsidRPr="00BC4FBA" w:rsidRDefault="00BC4FBA" w:rsidP="00BC4F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BC4FBA">
              <w:rPr>
                <w:rFonts w:eastAsia="Calibri" w:cs="Times New Roman"/>
                <w:i/>
                <w:sz w:val="20"/>
                <w:szCs w:val="20"/>
              </w:rPr>
              <w:t>B Income from property assets (</w:t>
            </w:r>
            <w:proofErr w:type="gramStart"/>
            <w:r w:rsidRPr="00BC4FBA">
              <w:rPr>
                <w:rFonts w:eastAsia="Calibri" w:cs="Times New Roman"/>
                <w:i/>
                <w:sz w:val="20"/>
                <w:szCs w:val="20"/>
              </w:rPr>
              <w:t>e.g.</w:t>
            </w:r>
            <w:proofErr w:type="gramEnd"/>
            <w:r w:rsidRPr="00BC4FBA">
              <w:rPr>
                <w:rFonts w:eastAsia="Calibri" w:cs="Times New Roman"/>
                <w:i/>
                <w:sz w:val="20"/>
                <w:szCs w:val="20"/>
              </w:rPr>
              <w:t xml:space="preserve"> if the entity owns commercial or other income generating property) </w:t>
            </w:r>
          </w:p>
          <w:p w14:paraId="28324E30" w14:textId="77777777" w:rsidR="00BC4FBA" w:rsidRPr="00BC4FBA" w:rsidRDefault="00BC4FBA" w:rsidP="00BC4F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BC4FBA">
              <w:rPr>
                <w:rFonts w:eastAsia="Calibri" w:cs="Times New Roman"/>
                <w:i/>
                <w:sz w:val="20"/>
                <w:szCs w:val="20"/>
              </w:rPr>
              <w:t xml:space="preserve">C Service charges paid by residents </w:t>
            </w:r>
          </w:p>
          <w:p w14:paraId="2CEE4721" w14:textId="77777777" w:rsidR="00BC4FBA" w:rsidRPr="00BC4FBA" w:rsidRDefault="00BC4FBA" w:rsidP="00BC4F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BC4FBA">
              <w:rPr>
                <w:rFonts w:eastAsia="Calibri" w:cs="Times New Roman"/>
                <w:i/>
                <w:sz w:val="20"/>
                <w:szCs w:val="20"/>
              </w:rPr>
              <w:t xml:space="preserve">D Local taxation (the stewardship body could be a parish council) </w:t>
            </w:r>
          </w:p>
          <w:p w14:paraId="4C2B7F99" w14:textId="77777777" w:rsidR="00BC4FBA" w:rsidRPr="00BC4FBA" w:rsidRDefault="00BC4FBA" w:rsidP="00BC4F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BC4FBA">
              <w:rPr>
                <w:rFonts w:eastAsia="Calibri" w:cs="Times New Roman"/>
                <w:i/>
                <w:sz w:val="20"/>
                <w:szCs w:val="20"/>
              </w:rPr>
              <w:t>E Charges for services (</w:t>
            </w:r>
            <w:proofErr w:type="gramStart"/>
            <w:r w:rsidRPr="00BC4FBA">
              <w:rPr>
                <w:rFonts w:eastAsia="Calibri" w:cs="Times New Roman"/>
                <w:i/>
                <w:sz w:val="20"/>
                <w:szCs w:val="20"/>
              </w:rPr>
              <w:t>e.g.</w:t>
            </w:r>
            <w:proofErr w:type="gramEnd"/>
            <w:r w:rsidRPr="00BC4FBA">
              <w:rPr>
                <w:rFonts w:eastAsia="Calibri" w:cs="Times New Roman"/>
                <w:i/>
                <w:sz w:val="20"/>
                <w:szCs w:val="20"/>
              </w:rPr>
              <w:t xml:space="preserve"> maintaining highways verges) </w:t>
            </w:r>
          </w:p>
          <w:p w14:paraId="3BCAFCC7" w14:textId="77777777" w:rsidR="00BC4FBA" w:rsidRDefault="00BC4FBA" w:rsidP="00BC4F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BC4FBA">
              <w:rPr>
                <w:rFonts w:eastAsia="Calibri" w:cs="Times New Roman"/>
                <w:i/>
                <w:sz w:val="20"/>
                <w:szCs w:val="20"/>
              </w:rPr>
              <w:t>F A combination of the above</w:t>
            </w:r>
          </w:p>
          <w:p w14:paraId="51A6B54F" w14:textId="1D971CA6" w:rsidR="008C03B6" w:rsidRDefault="007B59E2" w:rsidP="008C03B6">
            <w:pPr>
              <w:spacing w:after="0" w:line="240" w:lineRule="auto"/>
              <w:ind w:left="60"/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 xml:space="preserve">[Source: </w:t>
            </w:r>
            <w:hyperlink r:id="rId14" w:history="1">
              <w:r w:rsidRPr="007B59E2">
                <w:rPr>
                  <w:rStyle w:val="Hyperlink"/>
                  <w:rFonts w:eastAsia="Calibri" w:cs="Times New Roman"/>
                  <w:i/>
                  <w:sz w:val="20"/>
                  <w:szCs w:val="20"/>
                </w:rPr>
                <w:t>Building with Nature Standards Framework</w:t>
              </w:r>
            </w:hyperlink>
            <w:r>
              <w:rPr>
                <w:rFonts w:eastAsia="Calibri" w:cs="Times New Roman"/>
                <w:i/>
                <w:sz w:val="20"/>
                <w:szCs w:val="20"/>
              </w:rPr>
              <w:t>]</w:t>
            </w:r>
          </w:p>
          <w:p w14:paraId="52C79CF9" w14:textId="77777777" w:rsidR="00DE123A" w:rsidRPr="008C03B6" w:rsidRDefault="00DE123A" w:rsidP="008C03B6">
            <w:pPr>
              <w:spacing w:after="0" w:line="240" w:lineRule="auto"/>
              <w:ind w:left="60"/>
              <w:rPr>
                <w:rFonts w:eastAsia="Calibri" w:cs="Times New Roman"/>
                <w:i/>
                <w:sz w:val="20"/>
                <w:szCs w:val="20"/>
              </w:rPr>
            </w:pPr>
          </w:p>
          <w:p w14:paraId="588A287E" w14:textId="2E5FA605" w:rsidR="00BC4FBA" w:rsidRPr="00BC4FBA" w:rsidRDefault="007B59E2" w:rsidP="00DE55C7">
            <w:pPr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>See also</w:t>
            </w:r>
            <w:r w:rsidR="00DE55C7">
              <w:rPr>
                <w:rFonts w:eastAsia="Calibri" w:cs="Times New Roman"/>
                <w:iCs/>
                <w:sz w:val="20"/>
                <w:szCs w:val="20"/>
              </w:rPr>
              <w:t xml:space="preserve">: Chapter 3 of </w:t>
            </w:r>
            <w:hyperlink r:id="rId15" w:history="1">
              <w:r w:rsidR="00DE55C7" w:rsidRPr="00DE123A">
                <w:rPr>
                  <w:rStyle w:val="Hyperlink"/>
                  <w:rFonts w:eastAsia="Calibri" w:cs="Times New Roman"/>
                  <w:iCs/>
                  <w:sz w:val="20"/>
                  <w:szCs w:val="20"/>
                </w:rPr>
                <w:t>Built Today, Treasured Tomorrow</w:t>
              </w:r>
            </w:hyperlink>
            <w:r w:rsidR="00DE55C7">
              <w:rPr>
                <w:rFonts w:eastAsia="Calibri" w:cs="Times New Roman"/>
                <w:iCs/>
                <w:sz w:val="20"/>
                <w:szCs w:val="20"/>
              </w:rPr>
              <w:t xml:space="preserve"> (TCPA, 2014)</w:t>
            </w:r>
          </w:p>
        </w:tc>
        <w:tc>
          <w:tcPr>
            <w:tcW w:w="850" w:type="dxa"/>
          </w:tcPr>
          <w:p w14:paraId="4740615C" w14:textId="77777777" w:rsidR="00BC4FBA" w:rsidRPr="00BC4FBA" w:rsidRDefault="00BC4FBA" w:rsidP="00BC4FB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0BE3DC5E" w14:textId="77777777" w:rsidR="00BC4FBA" w:rsidRPr="00BC4FBA" w:rsidRDefault="00BC4FBA" w:rsidP="00BC4FB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FBA" w:rsidRPr="00BC4FBA" w14:paraId="3BED64D7" w14:textId="77777777" w:rsidTr="004C717A">
        <w:trPr>
          <w:trHeight w:val="5519"/>
        </w:trPr>
        <w:tc>
          <w:tcPr>
            <w:tcW w:w="2972" w:type="dxa"/>
          </w:tcPr>
          <w:p w14:paraId="2300962B" w14:textId="453E2A07" w:rsidR="00BC4FBA" w:rsidRPr="00BC4FBA" w:rsidRDefault="00BC4FBA" w:rsidP="00BC4FB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C4FBA">
              <w:rPr>
                <w:b/>
                <w:bCs/>
                <w:sz w:val="20"/>
                <w:szCs w:val="20"/>
              </w:rPr>
              <w:t>Legal options:</w:t>
            </w:r>
            <w:r w:rsidRPr="00BC4FBA">
              <w:rPr>
                <w:sz w:val="20"/>
                <w:szCs w:val="20"/>
              </w:rPr>
              <w:t xml:space="preserve"> Potential suitable legal options to provide appropriate protection for a stewardship body, and the future of the assets it manages. </w:t>
            </w:r>
          </w:p>
        </w:tc>
        <w:tc>
          <w:tcPr>
            <w:tcW w:w="4253" w:type="dxa"/>
          </w:tcPr>
          <w:p w14:paraId="1FCCCAEF" w14:textId="3197831F" w:rsidR="00BC4FBA" w:rsidRPr="00CA3468" w:rsidRDefault="00BC4FBA" w:rsidP="00CA3468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CA3468">
              <w:rPr>
                <w:rFonts w:eastAsia="Calibri" w:cs="Times New Roman"/>
                <w:iCs/>
                <w:sz w:val="20"/>
                <w:szCs w:val="20"/>
              </w:rPr>
              <w:t>The main types of legal structure that can be adopted</w:t>
            </w:r>
            <w:r w:rsidR="004C717A" w:rsidRPr="00CA3468">
              <w:rPr>
                <w:rFonts w:eastAsia="Calibri" w:cs="Times New Roman"/>
                <w:iCs/>
                <w:sz w:val="20"/>
                <w:szCs w:val="20"/>
              </w:rPr>
              <w:t xml:space="preserve"> </w:t>
            </w:r>
            <w:r w:rsidRPr="00CA3468">
              <w:rPr>
                <w:rFonts w:eastAsia="Calibri" w:cs="Times New Roman"/>
                <w:iCs/>
                <w:sz w:val="20"/>
                <w:szCs w:val="20"/>
              </w:rPr>
              <w:t>by stewardship bodies are listed below (they are not</w:t>
            </w:r>
            <w:r w:rsidR="004C717A" w:rsidRPr="00CA3468">
              <w:rPr>
                <w:rFonts w:eastAsia="Calibri" w:cs="Times New Roman"/>
                <w:iCs/>
                <w:sz w:val="20"/>
                <w:szCs w:val="20"/>
              </w:rPr>
              <w:t xml:space="preserve"> </w:t>
            </w:r>
            <w:r w:rsidRPr="00CA3468">
              <w:rPr>
                <w:rFonts w:eastAsia="Calibri" w:cs="Times New Roman"/>
                <w:iCs/>
                <w:sz w:val="20"/>
                <w:szCs w:val="20"/>
              </w:rPr>
              <w:t>mutually exclusive):</w:t>
            </w:r>
          </w:p>
          <w:p w14:paraId="12955799" w14:textId="262C2458" w:rsidR="00BC4FBA" w:rsidRPr="00BC4FBA" w:rsidRDefault="00BC4FBA" w:rsidP="00CA34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>trusts (charitable or otherwise, or unincorporated</w:t>
            </w:r>
            <w:r w:rsidR="004C717A">
              <w:rPr>
                <w:rFonts w:eastAsia="Calibri" w:cs="Times New Roman"/>
                <w:iCs/>
                <w:sz w:val="20"/>
                <w:szCs w:val="20"/>
              </w:rPr>
              <w:t xml:space="preserve"> </w:t>
            </w:r>
            <w:r w:rsidRPr="00BC4FBA">
              <w:rPr>
                <w:rFonts w:eastAsia="Calibri" w:cs="Times New Roman"/>
                <w:iCs/>
                <w:sz w:val="20"/>
                <w:szCs w:val="20"/>
              </w:rPr>
              <w:t>associations</w:t>
            </w:r>
            <w:proofErr w:type="gramStart"/>
            <w:r w:rsidRPr="00BC4FBA">
              <w:rPr>
                <w:rFonts w:eastAsia="Calibri" w:cs="Times New Roman"/>
                <w:iCs/>
                <w:sz w:val="20"/>
                <w:szCs w:val="20"/>
              </w:rPr>
              <w:t>);</w:t>
            </w:r>
            <w:proofErr w:type="gramEnd"/>
          </w:p>
          <w:p w14:paraId="064E4C05" w14:textId="067B017D" w:rsidR="00BC4FBA" w:rsidRPr="00BC4FBA" w:rsidRDefault="00BC4FBA" w:rsidP="00CA34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>limited companies (limited by shares or guarantee) –</w:t>
            </w:r>
          </w:p>
          <w:p w14:paraId="04C72194" w14:textId="77777777" w:rsidR="00BC4FBA" w:rsidRPr="00BC4FBA" w:rsidRDefault="00BC4FBA" w:rsidP="00CA34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 xml:space="preserve">including community interest </w:t>
            </w:r>
            <w:proofErr w:type="gramStart"/>
            <w:r w:rsidRPr="00BC4FBA">
              <w:rPr>
                <w:rFonts w:eastAsia="Calibri" w:cs="Times New Roman"/>
                <w:iCs/>
                <w:sz w:val="20"/>
                <w:szCs w:val="20"/>
              </w:rPr>
              <w:t>companies;</w:t>
            </w:r>
            <w:proofErr w:type="gramEnd"/>
          </w:p>
          <w:p w14:paraId="3590918A" w14:textId="37F4D0C2" w:rsidR="00BC4FBA" w:rsidRPr="00BC4FBA" w:rsidRDefault="00BC4FBA" w:rsidP="00CA34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>charities, or, from 2013, charitable incorporated</w:t>
            </w:r>
            <w:r w:rsidR="004C717A">
              <w:rPr>
                <w:rFonts w:eastAsia="Calibri" w:cs="Times New Roman"/>
                <w:iCs/>
                <w:sz w:val="20"/>
                <w:szCs w:val="20"/>
              </w:rPr>
              <w:t xml:space="preserve"> </w:t>
            </w:r>
            <w:r w:rsidRPr="00BC4FBA">
              <w:rPr>
                <w:rFonts w:eastAsia="Calibri" w:cs="Times New Roman"/>
                <w:iCs/>
                <w:sz w:val="20"/>
                <w:szCs w:val="20"/>
              </w:rPr>
              <w:t>organisations (the CIO is the new legal structure for</w:t>
            </w:r>
            <w:r w:rsidR="004C717A">
              <w:rPr>
                <w:rFonts w:eastAsia="Calibri" w:cs="Times New Roman"/>
                <w:iCs/>
                <w:sz w:val="20"/>
                <w:szCs w:val="20"/>
              </w:rPr>
              <w:t xml:space="preserve"> </w:t>
            </w:r>
            <w:r w:rsidRPr="00BC4FBA">
              <w:rPr>
                <w:rFonts w:eastAsia="Calibri" w:cs="Times New Roman"/>
                <w:iCs/>
                <w:sz w:val="20"/>
                <w:szCs w:val="20"/>
              </w:rPr>
              <w:t>charities</w:t>
            </w:r>
            <w:proofErr w:type="gramStart"/>
            <w:r w:rsidRPr="00BC4FBA">
              <w:rPr>
                <w:rFonts w:eastAsia="Calibri" w:cs="Times New Roman"/>
                <w:iCs/>
                <w:sz w:val="20"/>
                <w:szCs w:val="20"/>
              </w:rPr>
              <w:t>);</w:t>
            </w:r>
            <w:proofErr w:type="gramEnd"/>
          </w:p>
          <w:p w14:paraId="062C3DF8" w14:textId="45F96CBB" w:rsidR="00BC4FBA" w:rsidRPr="00BC4FBA" w:rsidRDefault="00BC4FBA" w:rsidP="00CA34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BC4FBA">
              <w:rPr>
                <w:rFonts w:eastAsia="Calibri" w:cs="Times New Roman"/>
                <w:iCs/>
                <w:sz w:val="20"/>
                <w:szCs w:val="20"/>
              </w:rPr>
              <w:t>co-operatives; or</w:t>
            </w:r>
          </w:p>
          <w:p w14:paraId="6A51F69C" w14:textId="0CCD1C00" w:rsidR="00BC4FBA" w:rsidRPr="00605FF0" w:rsidRDefault="00BC4FBA" w:rsidP="00CA34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605FF0">
              <w:rPr>
                <w:rFonts w:eastAsia="Calibri" w:cs="Times New Roman"/>
                <w:iCs/>
                <w:sz w:val="20"/>
                <w:szCs w:val="20"/>
              </w:rPr>
              <w:t xml:space="preserve">industrial and provident societies. </w:t>
            </w:r>
          </w:p>
          <w:p w14:paraId="2C84956B" w14:textId="77777777" w:rsidR="00CA3468" w:rsidRPr="00605FF0" w:rsidRDefault="00CA3468" w:rsidP="00CA3468">
            <w:pPr>
              <w:spacing w:after="0" w:line="240" w:lineRule="auto"/>
              <w:ind w:left="60"/>
              <w:rPr>
                <w:rFonts w:eastAsia="Calibri" w:cs="Times New Roman"/>
                <w:iCs/>
                <w:sz w:val="20"/>
                <w:szCs w:val="20"/>
              </w:rPr>
            </w:pPr>
          </w:p>
          <w:p w14:paraId="656E9C41" w14:textId="1829C8BA" w:rsidR="00BC4FBA" w:rsidRPr="00605FF0" w:rsidRDefault="00BC4FBA" w:rsidP="00CA3468">
            <w:pPr>
              <w:spacing w:after="0" w:line="240" w:lineRule="auto"/>
              <w:ind w:left="60"/>
              <w:rPr>
                <w:rFonts w:eastAsia="Calibri" w:cs="Times New Roman"/>
                <w:iCs/>
                <w:sz w:val="20"/>
                <w:szCs w:val="20"/>
              </w:rPr>
            </w:pPr>
            <w:r w:rsidRPr="00605FF0">
              <w:rPr>
                <w:rFonts w:eastAsia="Calibri" w:cs="Times New Roman"/>
                <w:b/>
                <w:bCs/>
                <w:iCs/>
                <w:sz w:val="20"/>
                <w:szCs w:val="20"/>
              </w:rPr>
              <w:t>Table 2</w:t>
            </w:r>
            <w:r w:rsidRPr="00605FF0">
              <w:rPr>
                <w:rFonts w:eastAsia="Calibri" w:cs="Times New Roman"/>
                <w:iCs/>
                <w:sz w:val="20"/>
                <w:szCs w:val="20"/>
              </w:rPr>
              <w:t xml:space="preserve"> of the </w:t>
            </w:r>
            <w:hyperlink r:id="rId16" w:history="1">
              <w:r w:rsidR="00CA3468" w:rsidRPr="00B45D07">
                <w:rPr>
                  <w:rStyle w:val="Hyperlink"/>
                  <w:sz w:val="20"/>
                  <w:szCs w:val="20"/>
                </w:rPr>
                <w:t>Built Today, Treasured Tomorrow</w:t>
              </w:r>
            </w:hyperlink>
            <w:r w:rsidR="00CA3468" w:rsidRPr="00605FF0">
              <w:rPr>
                <w:rFonts w:eastAsia="Calibri" w:cs="Times New Roman"/>
                <w:iCs/>
                <w:sz w:val="20"/>
                <w:szCs w:val="20"/>
              </w:rPr>
              <w:t xml:space="preserve"> (TCPA, 2014) </w:t>
            </w:r>
            <w:r w:rsidRPr="00605FF0">
              <w:rPr>
                <w:rFonts w:eastAsia="Calibri" w:cs="Times New Roman"/>
                <w:iCs/>
                <w:sz w:val="20"/>
                <w:szCs w:val="20"/>
              </w:rPr>
              <w:t>sets out the key features and pros and cons of the various models.</w:t>
            </w:r>
          </w:p>
          <w:p w14:paraId="53FF4F42" w14:textId="77777777" w:rsidR="00CA3468" w:rsidRPr="00605FF0" w:rsidRDefault="00CA3468" w:rsidP="00CA3468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  <w:p w14:paraId="02C0B144" w14:textId="679FA257" w:rsidR="00BC4FBA" w:rsidRPr="00605FF0" w:rsidRDefault="00BC4FBA" w:rsidP="00CA3468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605FF0">
              <w:rPr>
                <w:rFonts w:eastAsia="Calibri" w:cs="Times New Roman"/>
                <w:iCs/>
                <w:sz w:val="20"/>
                <w:szCs w:val="20"/>
              </w:rPr>
              <w:t>Factors affecting legal status</w:t>
            </w:r>
            <w:r w:rsidR="004C717A" w:rsidRPr="00605FF0">
              <w:rPr>
                <w:rFonts w:eastAsia="Calibri" w:cs="Times New Roman"/>
                <w:iCs/>
                <w:sz w:val="20"/>
                <w:szCs w:val="20"/>
              </w:rPr>
              <w:t xml:space="preserve"> [Source: </w:t>
            </w:r>
            <w:hyperlink r:id="rId17" w:history="1">
              <w:r w:rsidR="004C717A" w:rsidRPr="00B45D07">
                <w:rPr>
                  <w:rStyle w:val="Hyperlink"/>
                  <w:sz w:val="20"/>
                  <w:szCs w:val="20"/>
                </w:rPr>
                <w:t>Building with Nature Standards Framework</w:t>
              </w:r>
            </w:hyperlink>
            <w:r w:rsidR="004C717A" w:rsidRPr="00605FF0">
              <w:rPr>
                <w:rFonts w:eastAsia="Calibri" w:cs="Times New Roman"/>
                <w:iCs/>
                <w:sz w:val="20"/>
                <w:szCs w:val="20"/>
              </w:rPr>
              <w:t>]</w:t>
            </w:r>
            <w:r w:rsidRPr="00605FF0">
              <w:rPr>
                <w:rFonts w:eastAsia="Calibri" w:cs="Times New Roman"/>
                <w:iCs/>
                <w:sz w:val="20"/>
                <w:szCs w:val="20"/>
              </w:rPr>
              <w:t>:</w:t>
            </w:r>
          </w:p>
          <w:p w14:paraId="303D3DAC" w14:textId="77777777" w:rsidR="004C717A" w:rsidRPr="00CA3468" w:rsidRDefault="00BC4FBA" w:rsidP="00CA34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CA3468">
              <w:rPr>
                <w:rFonts w:eastAsia="Calibri" w:cs="Times New Roman"/>
                <w:iCs/>
                <w:sz w:val="20"/>
                <w:szCs w:val="20"/>
              </w:rPr>
              <w:t xml:space="preserve">A Will it </w:t>
            </w:r>
            <w:proofErr w:type="gramStart"/>
            <w:r w:rsidRPr="00CA3468">
              <w:rPr>
                <w:rFonts w:eastAsia="Calibri" w:cs="Times New Roman"/>
                <w:iCs/>
                <w:sz w:val="20"/>
                <w:szCs w:val="20"/>
              </w:rPr>
              <w:t>have</w:t>
            </w:r>
            <w:proofErr w:type="gramEnd"/>
            <w:r w:rsidRPr="00CA3468">
              <w:rPr>
                <w:rFonts w:eastAsia="Calibri" w:cs="Times New Roman"/>
                <w:iCs/>
                <w:sz w:val="20"/>
                <w:szCs w:val="20"/>
              </w:rPr>
              <w:t xml:space="preserve"> charitable status? </w:t>
            </w:r>
          </w:p>
          <w:p w14:paraId="54459719" w14:textId="5518B74F" w:rsidR="00BC4FBA" w:rsidRPr="00CA3468" w:rsidRDefault="00BC4FBA" w:rsidP="00CA34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CA3468">
              <w:rPr>
                <w:rFonts w:eastAsia="Calibri" w:cs="Times New Roman"/>
                <w:iCs/>
                <w:sz w:val="20"/>
                <w:szCs w:val="20"/>
              </w:rPr>
              <w:t xml:space="preserve">B Will it be directly accountable to </w:t>
            </w:r>
            <w:proofErr w:type="gramStart"/>
            <w:r w:rsidRPr="00CA3468">
              <w:rPr>
                <w:rFonts w:eastAsia="Calibri" w:cs="Times New Roman"/>
                <w:iCs/>
                <w:sz w:val="20"/>
                <w:szCs w:val="20"/>
              </w:rPr>
              <w:t>local residents</w:t>
            </w:r>
            <w:proofErr w:type="gramEnd"/>
            <w:r w:rsidRPr="00CA3468">
              <w:rPr>
                <w:rFonts w:eastAsia="Calibri" w:cs="Times New Roman"/>
                <w:iCs/>
                <w:sz w:val="20"/>
                <w:szCs w:val="20"/>
              </w:rPr>
              <w:t xml:space="preserve"> or by a body of appointed trustees? </w:t>
            </w:r>
          </w:p>
          <w:p w14:paraId="74F219B6" w14:textId="77777777" w:rsidR="00BC4FBA" w:rsidRPr="00CA3468" w:rsidRDefault="00BC4FBA" w:rsidP="00CA34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 w:rsidRPr="00CA3468">
              <w:rPr>
                <w:rFonts w:eastAsia="Calibri" w:cs="Times New Roman"/>
                <w:iCs/>
                <w:sz w:val="20"/>
                <w:szCs w:val="20"/>
              </w:rPr>
              <w:t>C Will it have any investors to whom profits would be distributed?</w:t>
            </w:r>
          </w:p>
          <w:p w14:paraId="24A01B34" w14:textId="209E5365" w:rsidR="004C717A" w:rsidRPr="00CA3468" w:rsidRDefault="004C717A" w:rsidP="00CA3468">
            <w:pPr>
              <w:pStyle w:val="ListParagraph"/>
              <w:spacing w:after="0" w:line="240" w:lineRule="auto"/>
              <w:ind w:left="420" w:firstLine="0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D4058E8" w14:textId="77777777" w:rsidR="00BC4FBA" w:rsidRPr="00BC4FBA" w:rsidRDefault="00BC4FBA" w:rsidP="00BC4FB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189F8CE8" w14:textId="77777777" w:rsidR="00BC4FBA" w:rsidRPr="00BC4FBA" w:rsidRDefault="00BC4FBA" w:rsidP="00BC4FB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5F64949A" w14:textId="77777777" w:rsidR="002F3C54" w:rsidRDefault="002F3C54" w:rsidP="002F3C54"/>
    <w:p w14:paraId="58940E13" w14:textId="2A5F7D06" w:rsidR="008D252B" w:rsidRDefault="008D252B">
      <w:r w:rsidRPr="00EF7FCF">
        <w:rPr>
          <w:b/>
          <w:bCs/>
        </w:rPr>
        <w:t>Last updated:</w:t>
      </w:r>
      <w:r>
        <w:t xml:space="preserve"> 19.05.23</w:t>
      </w:r>
    </w:p>
    <w:sectPr w:rsidR="008D252B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B542" w14:textId="77777777" w:rsidR="00B60A0E" w:rsidRDefault="00B60A0E" w:rsidP="00B60A0E">
      <w:pPr>
        <w:spacing w:after="0" w:line="240" w:lineRule="auto"/>
      </w:pPr>
      <w:r>
        <w:separator/>
      </w:r>
    </w:p>
  </w:endnote>
  <w:endnote w:type="continuationSeparator" w:id="0">
    <w:p w14:paraId="16C59592" w14:textId="77777777" w:rsidR="00B60A0E" w:rsidRDefault="00B60A0E" w:rsidP="00B60A0E">
      <w:pPr>
        <w:spacing w:after="0" w:line="240" w:lineRule="auto"/>
      </w:pPr>
      <w:r>
        <w:continuationSeparator/>
      </w:r>
    </w:p>
  </w:endnote>
  <w:endnote w:type="continuationNotice" w:id="1">
    <w:p w14:paraId="06BC78BF" w14:textId="77777777" w:rsidR="003638B3" w:rsidRDefault="00363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AA6C" w14:textId="77777777" w:rsidR="00B60A0E" w:rsidRDefault="00B60A0E" w:rsidP="00B60A0E">
      <w:pPr>
        <w:spacing w:after="0" w:line="240" w:lineRule="auto"/>
      </w:pPr>
      <w:r>
        <w:separator/>
      </w:r>
    </w:p>
  </w:footnote>
  <w:footnote w:type="continuationSeparator" w:id="0">
    <w:p w14:paraId="3CF45F4B" w14:textId="77777777" w:rsidR="00B60A0E" w:rsidRDefault="00B60A0E" w:rsidP="00B60A0E">
      <w:pPr>
        <w:spacing w:after="0" w:line="240" w:lineRule="auto"/>
      </w:pPr>
      <w:r>
        <w:continuationSeparator/>
      </w:r>
    </w:p>
  </w:footnote>
  <w:footnote w:type="continuationNotice" w:id="1">
    <w:p w14:paraId="2A1733E0" w14:textId="77777777" w:rsidR="003638B3" w:rsidRDefault="003638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6FF2" w14:textId="3A43D3F4" w:rsidR="00B60A0E" w:rsidRDefault="00B60A0E" w:rsidP="00B60A0E">
    <w:pPr>
      <w:pStyle w:val="Title"/>
    </w:pPr>
    <w:r w:rsidRPr="00B60A0E">
      <w:rPr>
        <w:sz w:val="24"/>
        <w:szCs w:val="24"/>
      </w:rPr>
      <w:t xml:space="preserve">Long-term stewardship in new communities: Making it happen – a process guide for </w:t>
    </w:r>
    <w:proofErr w:type="gramStart"/>
    <w:r w:rsidRPr="00B60A0E">
      <w:rPr>
        <w:sz w:val="24"/>
        <w:szCs w:val="24"/>
      </w:rPr>
      <w:t>councils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31D"/>
    <w:multiLevelType w:val="hybridMultilevel"/>
    <w:tmpl w:val="E28CAD62"/>
    <w:lvl w:ilvl="0" w:tplc="629A2182">
      <w:start w:val="18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3AB11F2"/>
    <w:multiLevelType w:val="hybridMultilevel"/>
    <w:tmpl w:val="AB928D92"/>
    <w:lvl w:ilvl="0" w:tplc="08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7E7A92">
      <w:numFmt w:val="bullet"/>
      <w:lvlText w:val="•"/>
      <w:lvlJc w:val="left"/>
      <w:pPr>
        <w:ind w:left="1860" w:hanging="360"/>
      </w:pPr>
      <w:rPr>
        <w:rFonts w:ascii="Georgia" w:eastAsiaTheme="minorHAnsi" w:hAnsi="Georgia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96439285">
    <w:abstractNumId w:val="0"/>
  </w:num>
  <w:num w:numId="2" w16cid:durableId="182847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2B"/>
    <w:rsid w:val="0004586D"/>
    <w:rsid w:val="00137C4A"/>
    <w:rsid w:val="001D502B"/>
    <w:rsid w:val="002056BF"/>
    <w:rsid w:val="00240A33"/>
    <w:rsid w:val="00277EEF"/>
    <w:rsid w:val="00295304"/>
    <w:rsid w:val="002D09E0"/>
    <w:rsid w:val="002F3C54"/>
    <w:rsid w:val="003638B3"/>
    <w:rsid w:val="004134C9"/>
    <w:rsid w:val="00441572"/>
    <w:rsid w:val="004C717A"/>
    <w:rsid w:val="00511C9F"/>
    <w:rsid w:val="00551F80"/>
    <w:rsid w:val="005F5683"/>
    <w:rsid w:val="00605FF0"/>
    <w:rsid w:val="00624FF2"/>
    <w:rsid w:val="006343D3"/>
    <w:rsid w:val="006D3FF5"/>
    <w:rsid w:val="006E6648"/>
    <w:rsid w:val="006F12E4"/>
    <w:rsid w:val="00723DF7"/>
    <w:rsid w:val="007A448A"/>
    <w:rsid w:val="007B59E2"/>
    <w:rsid w:val="007F2FDA"/>
    <w:rsid w:val="008C03B6"/>
    <w:rsid w:val="008D252B"/>
    <w:rsid w:val="009017C7"/>
    <w:rsid w:val="0096300F"/>
    <w:rsid w:val="00AC020B"/>
    <w:rsid w:val="00B45D07"/>
    <w:rsid w:val="00B54E82"/>
    <w:rsid w:val="00B60A0E"/>
    <w:rsid w:val="00B7397B"/>
    <w:rsid w:val="00BC4FBA"/>
    <w:rsid w:val="00BE6D86"/>
    <w:rsid w:val="00C50E90"/>
    <w:rsid w:val="00CA3468"/>
    <w:rsid w:val="00D53F14"/>
    <w:rsid w:val="00D81599"/>
    <w:rsid w:val="00DB61D1"/>
    <w:rsid w:val="00DE123A"/>
    <w:rsid w:val="00DE55C7"/>
    <w:rsid w:val="00EA0B6D"/>
    <w:rsid w:val="00EF7FCF"/>
    <w:rsid w:val="181EAC13"/>
    <w:rsid w:val="56F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7E96"/>
  <w15:chartTrackingRefBased/>
  <w15:docId w15:val="{366B31AB-E409-4BA9-8C46-FB482607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52B"/>
    <w:pPr>
      <w:spacing w:after="280" w:line="26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D252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2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52B"/>
    <w:rPr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8D252B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8D2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723DF7"/>
    <w:pPr>
      <w:spacing w:after="380" w:line="214" w:lineRule="auto"/>
      <w:contextualSpacing/>
    </w:pPr>
    <w:rPr>
      <w:rFonts w:asciiTheme="majorHAnsi" w:eastAsiaTheme="majorEastAsia" w:hAnsiTheme="majorHAnsi" w:cstheme="majorBidi"/>
      <w:b/>
      <w:bCs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23DF7"/>
    <w:rPr>
      <w:rFonts w:asciiTheme="majorHAnsi" w:eastAsiaTheme="majorEastAsia" w:hAnsiTheme="majorHAnsi" w:cstheme="majorBidi"/>
      <w:b/>
      <w:bCs/>
      <w:kern w:val="28"/>
      <w:sz w:val="56"/>
      <w:szCs w:val="5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60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A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0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A0E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4FBA"/>
    <w:pPr>
      <w:ind w:left="227" w:hanging="227"/>
      <w:contextualSpacing/>
    </w:pPr>
  </w:style>
  <w:style w:type="character" w:styleId="Hyperlink">
    <w:name w:val="Hyperlink"/>
    <w:basedOn w:val="DefaultParagraphFont"/>
    <w:uiPriority w:val="99"/>
    <w:unhideWhenUsed/>
    <w:rsid w:val="007B59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cpa.org.uk/resources/built-today-treasured-tomorrow-a-practical-guide-to-long-term-stewardship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uildingwithnature.org.uk/standards-form" TargetMode="External"/><Relationship Id="rId17" Type="http://schemas.openxmlformats.org/officeDocument/2006/relationships/hyperlink" Target="https://www.buildingwithnature.org.uk/standards-for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cpa.org.uk/resources/built-today-treasured-tomorrow-a-practical-guide-to-long-term-stewardship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garden-communities/legac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cpa.org.uk/resources/built-today-treasured-tomorrow-a-practical-guide-to-long-term-stewardship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uildingwithnature.org.uk/standards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38D1182E1F469749CD4DB1BFDD08" ma:contentTypeVersion="17" ma:contentTypeDescription="Create a new document." ma:contentTypeScope="" ma:versionID="fa8d6607da5817d2017e2a95d390a2a9">
  <xsd:schema xmlns:xsd="http://www.w3.org/2001/XMLSchema" xmlns:xs="http://www.w3.org/2001/XMLSchema" xmlns:p="http://schemas.microsoft.com/office/2006/metadata/properties" xmlns:ns2="fa4a6f1c-f76b-4a72-8099-856ff85a96d2" xmlns:ns3="4eb1a5de-68de-420a-856e-2354ee30a485" targetNamespace="http://schemas.microsoft.com/office/2006/metadata/properties" ma:root="true" ma:fieldsID="48846e87bf9c9abe88ea61927f235060" ns2:_="" ns3:_="">
    <xsd:import namespace="fa4a6f1c-f76b-4a72-8099-856ff85a96d2"/>
    <xsd:import namespace="4eb1a5de-68de-420a-856e-2354ee30a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a6f1c-f76b-4a72-8099-856ff85a9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1a5de-68de-420a-856e-2354ee30a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bb3e95-a033-45ac-a5f3-7fb39c91a268}" ma:internalName="TaxCatchAll" ma:showField="CatchAllData" ma:web="4eb1a5de-68de-420a-856e-2354ee30a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4a6f1c-f76b-4a72-8099-856ff85a96d2">
      <Terms xmlns="http://schemas.microsoft.com/office/infopath/2007/PartnerControls"/>
    </lcf76f155ced4ddcb4097134ff3c332f>
    <TaxCatchAll xmlns="4eb1a5de-68de-420a-856e-2354ee30a485" xsi:nil="true"/>
  </documentManagement>
</p:properties>
</file>

<file path=customXml/itemProps1.xml><?xml version="1.0" encoding="utf-8"?>
<ds:datastoreItem xmlns:ds="http://schemas.openxmlformats.org/officeDocument/2006/customXml" ds:itemID="{F77FB257-818D-43D0-B718-C408EF5A0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D2B8B-71FC-4912-9A83-42C20B48C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a6f1c-f76b-4a72-8099-856ff85a96d2"/>
    <ds:schemaRef ds:uri="4eb1a5de-68de-420a-856e-2354ee30a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33A8F-025D-40F1-8F94-F23CA4AE9FEB}">
  <ds:schemaRefs>
    <ds:schemaRef ds:uri="http://schemas.microsoft.com/office/2006/metadata/properties"/>
    <ds:schemaRef ds:uri="http://schemas.microsoft.com/office/infopath/2007/PartnerControls"/>
    <ds:schemaRef ds:uri="fa4a6f1c-f76b-4a72-8099-856ff85a96d2"/>
    <ds:schemaRef ds:uri="4eb1a5de-68de-420a-856e-2354ee30a4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853</Words>
  <Characters>4865</Characters>
  <Application>Microsoft Office Word</Application>
  <DocSecurity>4</DocSecurity>
  <Lines>40</Lines>
  <Paragraphs>11</Paragraphs>
  <ScaleCrop>false</ScaleCrop>
  <Company/>
  <LinksUpToDate>false</LinksUpToDate>
  <CharactersWithSpaces>5707</CharactersWithSpaces>
  <SharedDoc>false</SharedDoc>
  <HLinks>
    <vt:vector size="42" baseType="variant">
      <vt:variant>
        <vt:i4>5046352</vt:i4>
      </vt:variant>
      <vt:variant>
        <vt:i4>18</vt:i4>
      </vt:variant>
      <vt:variant>
        <vt:i4>0</vt:i4>
      </vt:variant>
      <vt:variant>
        <vt:i4>5</vt:i4>
      </vt:variant>
      <vt:variant>
        <vt:lpwstr>https://www.buildingwithnature.org.uk/standards-form</vt:lpwstr>
      </vt:variant>
      <vt:variant>
        <vt:lpwstr/>
      </vt:variant>
      <vt:variant>
        <vt:i4>4718612</vt:i4>
      </vt:variant>
      <vt:variant>
        <vt:i4>15</vt:i4>
      </vt:variant>
      <vt:variant>
        <vt:i4>0</vt:i4>
      </vt:variant>
      <vt:variant>
        <vt:i4>5</vt:i4>
      </vt:variant>
      <vt:variant>
        <vt:lpwstr>https://www.tcpa.org.uk/resources/built-today-treasured-tomorrow-a-practical-guide-to-long-term-stewardship/</vt:lpwstr>
      </vt:variant>
      <vt:variant>
        <vt:lpwstr/>
      </vt:variant>
      <vt:variant>
        <vt:i4>4718612</vt:i4>
      </vt:variant>
      <vt:variant>
        <vt:i4>12</vt:i4>
      </vt:variant>
      <vt:variant>
        <vt:i4>0</vt:i4>
      </vt:variant>
      <vt:variant>
        <vt:i4>5</vt:i4>
      </vt:variant>
      <vt:variant>
        <vt:lpwstr>https://www.tcpa.org.uk/resources/built-today-treasured-tomorrow-a-practical-guide-to-long-term-stewardship/</vt:lpwstr>
      </vt:variant>
      <vt:variant>
        <vt:lpwstr/>
      </vt:variant>
      <vt:variant>
        <vt:i4>5046352</vt:i4>
      </vt:variant>
      <vt:variant>
        <vt:i4>9</vt:i4>
      </vt:variant>
      <vt:variant>
        <vt:i4>0</vt:i4>
      </vt:variant>
      <vt:variant>
        <vt:i4>5</vt:i4>
      </vt:variant>
      <vt:variant>
        <vt:lpwstr>https://www.buildingwithnature.org.uk/standards-form</vt:lpwstr>
      </vt:variant>
      <vt:variant>
        <vt:lpwstr/>
      </vt:variant>
      <vt:variant>
        <vt:i4>4718612</vt:i4>
      </vt:variant>
      <vt:variant>
        <vt:i4>6</vt:i4>
      </vt:variant>
      <vt:variant>
        <vt:i4>0</vt:i4>
      </vt:variant>
      <vt:variant>
        <vt:i4>5</vt:i4>
      </vt:variant>
      <vt:variant>
        <vt:lpwstr>https://www.tcpa.org.uk/resources/built-today-treasured-tomorrow-a-practical-guide-to-long-term-stewardship/</vt:lpwstr>
      </vt:variant>
      <vt:variant>
        <vt:lpwstr/>
      </vt:variant>
      <vt:variant>
        <vt:i4>5046352</vt:i4>
      </vt:variant>
      <vt:variant>
        <vt:i4>3</vt:i4>
      </vt:variant>
      <vt:variant>
        <vt:i4>0</vt:i4>
      </vt:variant>
      <vt:variant>
        <vt:i4>5</vt:i4>
      </vt:variant>
      <vt:variant>
        <vt:lpwstr>https://www.buildingwithnature.org.uk/standards-form</vt:lpwstr>
      </vt:variant>
      <vt:variant>
        <vt:lpwstr/>
      </vt:variant>
      <vt:variant>
        <vt:i4>4849690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https://www.gov.uk/guidance/garden-communities/legacy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Lock</dc:creator>
  <cp:keywords/>
  <dc:description/>
  <cp:lastModifiedBy>Katy Lock</cp:lastModifiedBy>
  <cp:revision>57</cp:revision>
  <dcterms:created xsi:type="dcterms:W3CDTF">2023-05-19T11:49:00Z</dcterms:created>
  <dcterms:modified xsi:type="dcterms:W3CDTF">2023-05-30T15:45:00Z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0x010100FDE138D1182E1F469749CD4DB1BFDD08</vt:lpwstr>
  </property>
  <property fmtid="{D5CDD505-2E9C-101B-9397-08002B2CF9AE}" pid="3" name="MediaServiceImageTags">
    <vt:lpwstr/>
  </property>
</Properties>
</file>