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84D1" w14:textId="58A5A081" w:rsidR="002039E3" w:rsidRPr="00106A73" w:rsidRDefault="00FA7A2C" w:rsidP="003D2A9E">
      <w:pPr>
        <w:spacing w:after="120"/>
        <w:rPr>
          <w:rFonts w:asciiTheme="majorHAnsi" w:hAnsiTheme="majorHAnsi"/>
          <w:b/>
          <w:bCs/>
          <w:caps/>
          <w:sz w:val="40"/>
          <w:szCs w:val="40"/>
        </w:rPr>
      </w:pPr>
      <w:r w:rsidRPr="00106A73">
        <w:rPr>
          <w:rFonts w:asciiTheme="majorHAnsi" w:hAnsiTheme="majorHAnsi"/>
          <w:b/>
          <w:bCs/>
          <w:caps/>
          <w:noProof/>
          <w:sz w:val="40"/>
          <w:szCs w:val="40"/>
        </w:rPr>
        <w:drawing>
          <wp:anchor distT="0" distB="0" distL="114300" distR="114300" simplePos="0" relativeHeight="251658240" behindDoc="0" locked="0" layoutInCell="1" allowOverlap="1" wp14:anchorId="603D1B4F" wp14:editId="5A6381F5">
            <wp:simplePos x="0" y="0"/>
            <wp:positionH relativeFrom="margin">
              <wp:posOffset>5196477</wp:posOffset>
            </wp:positionH>
            <wp:positionV relativeFrom="paragraph">
              <wp:posOffset>76019</wp:posOffset>
            </wp:positionV>
            <wp:extent cx="792000" cy="792000"/>
            <wp:effectExtent l="0" t="0" r="8255" b="8255"/>
            <wp:wrapSquare wrapText="bothSides"/>
            <wp:docPr id="13" name="Picture 13" descr="A picture containing wire, building, window, large&#10;&#10;Description automatically generated">
              <a:extLst xmlns:a="http://schemas.openxmlformats.org/drawingml/2006/main">
                <a:ext uri="{FF2B5EF4-FFF2-40B4-BE49-F238E27FC236}">
                  <a16:creationId xmlns:a16="http://schemas.microsoft.com/office/drawing/2014/main" id="{F5CB9AAE-9D17-4B45-9AA1-9A1B195DA571}"/>
                </a:ext>
              </a:extLst>
            </wp:docPr>
            <wp:cNvGraphicFramePr/>
            <a:graphic xmlns:a="http://schemas.openxmlformats.org/drawingml/2006/main">
              <a:graphicData uri="http://schemas.openxmlformats.org/drawingml/2006/picture">
                <pic:pic xmlns:pic="http://schemas.openxmlformats.org/drawingml/2006/picture">
                  <pic:nvPicPr>
                    <pic:cNvPr id="13" name="Picture 12" descr="A picture containing wire, building, window, large&#10;&#10;Description automatically generated">
                      <a:extLst>
                        <a:ext uri="{FF2B5EF4-FFF2-40B4-BE49-F238E27FC236}">
                          <a16:creationId xmlns:a16="http://schemas.microsoft.com/office/drawing/2014/main" id="{F5CB9AAE-9D17-4B45-9AA1-9A1B195DA57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F763B4" w:rsidRPr="00106A73">
        <w:rPr>
          <w:rFonts w:asciiTheme="majorHAnsi" w:hAnsiTheme="majorHAnsi"/>
          <w:b/>
          <w:bCs/>
          <w:caps/>
          <w:noProof/>
          <w:sz w:val="40"/>
          <w:szCs w:val="40"/>
        </w:rPr>
        <w:t>T</w:t>
      </w:r>
      <w:r w:rsidR="0080240C" w:rsidRPr="00106A73">
        <w:rPr>
          <w:rFonts w:asciiTheme="majorHAnsi" w:hAnsiTheme="majorHAnsi"/>
          <w:b/>
          <w:bCs/>
          <w:caps/>
          <w:noProof/>
          <w:sz w:val="40"/>
          <w:szCs w:val="40"/>
        </w:rPr>
        <w:t>he creation of mor</w:t>
      </w:r>
      <w:r w:rsidR="00F979DB">
        <w:rPr>
          <w:rFonts w:asciiTheme="majorHAnsi" w:hAnsiTheme="majorHAnsi"/>
          <w:b/>
          <w:bCs/>
          <w:caps/>
          <w:noProof/>
          <w:sz w:val="40"/>
          <w:szCs w:val="40"/>
        </w:rPr>
        <w:t>e</w:t>
      </w:r>
      <w:r w:rsidR="0080240C" w:rsidRPr="00106A73">
        <w:rPr>
          <w:rFonts w:asciiTheme="majorHAnsi" w:hAnsiTheme="majorHAnsi"/>
          <w:b/>
          <w:bCs/>
          <w:caps/>
          <w:noProof/>
          <w:sz w:val="40"/>
          <w:szCs w:val="40"/>
        </w:rPr>
        <w:t xml:space="preserve"> unsafe converted flats must be stopped</w:t>
      </w:r>
    </w:p>
    <w:p w14:paraId="1B931A3A" w14:textId="37FAA1CB" w:rsidR="00187BFB" w:rsidRPr="0080240C" w:rsidRDefault="002039E3" w:rsidP="003D2A9E">
      <w:pPr>
        <w:spacing w:after="120"/>
        <w:rPr>
          <w:rFonts w:asciiTheme="majorHAnsi" w:hAnsiTheme="majorHAnsi"/>
          <w:sz w:val="32"/>
          <w:szCs w:val="32"/>
        </w:rPr>
      </w:pPr>
      <w:r w:rsidRPr="0080240C">
        <w:rPr>
          <w:rFonts w:asciiTheme="majorHAnsi" w:hAnsiTheme="majorHAnsi"/>
          <w:sz w:val="32"/>
          <w:szCs w:val="32"/>
        </w:rPr>
        <w:t xml:space="preserve">Briefing for </w:t>
      </w:r>
      <w:r w:rsidR="00BB02D0" w:rsidRPr="0080240C">
        <w:rPr>
          <w:rFonts w:asciiTheme="majorHAnsi" w:hAnsiTheme="majorHAnsi"/>
          <w:sz w:val="32"/>
          <w:szCs w:val="32"/>
        </w:rPr>
        <w:t xml:space="preserve">the </w:t>
      </w:r>
      <w:r w:rsidR="00DD54C9" w:rsidRPr="0080240C">
        <w:rPr>
          <w:rFonts w:asciiTheme="majorHAnsi" w:hAnsiTheme="majorHAnsi"/>
          <w:sz w:val="32"/>
          <w:szCs w:val="32"/>
        </w:rPr>
        <w:t>House of Lords</w:t>
      </w:r>
      <w:r w:rsidR="009D30BD" w:rsidRPr="0080240C">
        <w:rPr>
          <w:rFonts w:asciiTheme="majorHAnsi" w:hAnsiTheme="majorHAnsi"/>
          <w:sz w:val="32"/>
          <w:szCs w:val="32"/>
        </w:rPr>
        <w:t xml:space="preserve"> </w:t>
      </w:r>
      <w:r w:rsidR="00F763B4" w:rsidRPr="0080240C">
        <w:rPr>
          <w:rFonts w:asciiTheme="majorHAnsi" w:hAnsiTheme="majorHAnsi"/>
          <w:sz w:val="32"/>
          <w:szCs w:val="32"/>
        </w:rPr>
        <w:t xml:space="preserve">about permitted development </w:t>
      </w:r>
    </w:p>
    <w:p w14:paraId="60644457" w14:textId="6BA34793" w:rsidR="00FA7A2C" w:rsidRPr="0063627E" w:rsidRDefault="001B48D9" w:rsidP="0080240C">
      <w:pPr>
        <w:pStyle w:val="Date"/>
        <w:pBdr>
          <w:bottom w:val="single" w:sz="6" w:space="12" w:color="auto"/>
        </w:pBdr>
        <w:spacing w:after="120" w:line="276" w:lineRule="auto"/>
        <w:rPr>
          <w:rFonts w:asciiTheme="majorHAnsi" w:hAnsiTheme="majorHAnsi"/>
          <w:sz w:val="24"/>
          <w:szCs w:val="24"/>
        </w:rPr>
      </w:pPr>
      <w:r w:rsidRPr="0063627E">
        <w:rPr>
          <w:rFonts w:asciiTheme="majorHAnsi" w:hAnsiTheme="majorHAnsi"/>
          <w:sz w:val="24"/>
          <w:szCs w:val="24"/>
        </w:rPr>
        <w:t>December</w:t>
      </w:r>
      <w:r w:rsidR="00F763B4" w:rsidRPr="0063627E">
        <w:rPr>
          <w:rFonts w:asciiTheme="majorHAnsi" w:hAnsiTheme="majorHAnsi"/>
          <w:sz w:val="24"/>
          <w:szCs w:val="24"/>
        </w:rPr>
        <w:t xml:space="preserve"> 2024</w:t>
      </w:r>
    </w:p>
    <w:p w14:paraId="57B4C62E" w14:textId="4FEED597" w:rsidR="00187BFB" w:rsidRPr="00187BFB" w:rsidRDefault="001951C8" w:rsidP="00F30A00">
      <w:pPr>
        <w:pStyle w:val="Heading1"/>
        <w:spacing w:line="276" w:lineRule="auto"/>
      </w:pPr>
      <w:r>
        <w:t>Overview</w:t>
      </w:r>
      <w:r w:rsidR="00A952B0">
        <w:t xml:space="preserve"> </w:t>
      </w:r>
    </w:p>
    <w:p w14:paraId="4C90D769" w14:textId="64945FDF" w:rsidR="00F763B4" w:rsidRPr="00E10C09" w:rsidRDefault="00A75BD9" w:rsidP="00C821DC">
      <w:r>
        <w:t>Evidence from over</w:t>
      </w:r>
      <w:r w:rsidR="00943A95">
        <w:t xml:space="preserve"> ten years</w:t>
      </w:r>
      <w:r w:rsidR="00ED2849">
        <w:t xml:space="preserve"> of</w:t>
      </w:r>
      <w:r w:rsidR="00943A95">
        <w:t xml:space="preserve"> </w:t>
      </w:r>
      <w:r>
        <w:t xml:space="preserve">expanded </w:t>
      </w:r>
      <w:r w:rsidR="00F34ED8">
        <w:t>p</w:t>
      </w:r>
      <w:r w:rsidR="00943A95">
        <w:t xml:space="preserve">ermitted </w:t>
      </w:r>
      <w:r w:rsidR="00F34ED8">
        <w:t>d</w:t>
      </w:r>
      <w:r w:rsidR="00943A95">
        <w:t>evelopment</w:t>
      </w:r>
      <w:r w:rsidR="00E007B1">
        <w:t xml:space="preserve"> </w:t>
      </w:r>
      <w:r w:rsidR="00F34ED8">
        <w:t>r</w:t>
      </w:r>
      <w:r w:rsidR="00AE6597">
        <w:t xml:space="preserve">ights (PDR) </w:t>
      </w:r>
      <w:r w:rsidR="00E007B1">
        <w:t>has shown that</w:t>
      </w:r>
      <w:r w:rsidR="00F763B4">
        <w:t xml:space="preserve"> </w:t>
      </w:r>
      <w:r w:rsidR="00C4782D">
        <w:t>this</w:t>
      </w:r>
      <w:r w:rsidR="0097386D">
        <w:t xml:space="preserve"> </w:t>
      </w:r>
      <w:r w:rsidR="00125C2D">
        <w:t xml:space="preserve">approach </w:t>
      </w:r>
      <w:r w:rsidR="0097386D">
        <w:t xml:space="preserve">is </w:t>
      </w:r>
      <w:r w:rsidR="00B93046">
        <w:t xml:space="preserve">failing to </w:t>
      </w:r>
      <w:r w:rsidR="00EE610E">
        <w:t>deliver the</w:t>
      </w:r>
      <w:r w:rsidR="008F7E2A">
        <w:t xml:space="preserve"> healthy and affordable homes that people need. </w:t>
      </w:r>
      <w:r w:rsidR="00171B85">
        <w:t xml:space="preserve">We know that </w:t>
      </w:r>
      <w:r w:rsidR="00F763B4">
        <w:t xml:space="preserve">vulnerable people are being housed in converted flats that do not meet fire safety and other </w:t>
      </w:r>
      <w:r w:rsidR="00C937EA">
        <w:t xml:space="preserve">minimum </w:t>
      </w:r>
      <w:r w:rsidR="00F763B4">
        <w:t>standar</w:t>
      </w:r>
      <w:r w:rsidR="00F763B4" w:rsidRPr="00E07C4A">
        <w:t xml:space="preserve">ds. </w:t>
      </w:r>
      <w:r w:rsidR="00B75C9C">
        <w:t>T</w:t>
      </w:r>
      <w:r w:rsidR="000C5007">
        <w:t xml:space="preserve">he </w:t>
      </w:r>
      <w:r w:rsidR="00F763B4">
        <w:t xml:space="preserve">government </w:t>
      </w:r>
      <w:r w:rsidR="00B75C9C">
        <w:t xml:space="preserve">mission </w:t>
      </w:r>
      <w:r w:rsidR="000C5007">
        <w:t>to</w:t>
      </w:r>
      <w:r w:rsidR="00F763B4">
        <w:t xml:space="preserve"> help people stay healthy</w:t>
      </w:r>
      <w:r w:rsidR="00060DDB">
        <w:t xml:space="preserve"> </w:t>
      </w:r>
      <w:r w:rsidR="00F763B4">
        <w:t>and address health inequalities</w:t>
      </w:r>
      <w:r w:rsidR="00B75C9C">
        <w:t xml:space="preserve"> is</w:t>
      </w:r>
      <w:r w:rsidR="00F763B4">
        <w:t xml:space="preserve"> being undermined through </w:t>
      </w:r>
      <w:r w:rsidR="003A6E84">
        <w:t>PDR</w:t>
      </w:r>
      <w:r w:rsidR="00F763B4">
        <w:t xml:space="preserve">. </w:t>
      </w:r>
    </w:p>
    <w:p w14:paraId="34592CA9" w14:textId="79E62808" w:rsidR="00187BFB" w:rsidRDefault="000F1ACC" w:rsidP="00F30A00">
      <w:pPr>
        <w:pStyle w:val="Heading1"/>
        <w:spacing w:line="276" w:lineRule="auto"/>
      </w:pPr>
      <w:r>
        <w:t xml:space="preserve">Why we need </w:t>
      </w:r>
      <w:r w:rsidR="00F1071A">
        <w:t>change</w:t>
      </w:r>
    </w:p>
    <w:p w14:paraId="40261B42" w14:textId="4BFF15F1" w:rsidR="00F763B4" w:rsidRPr="00F763B4" w:rsidRDefault="004846CC" w:rsidP="00F763B4">
      <w:r>
        <w:t>PDR changes</w:t>
      </w:r>
      <w:r w:rsidR="00F763B4" w:rsidRPr="00F763B4">
        <w:t xml:space="preserve"> </w:t>
      </w:r>
      <w:r>
        <w:t>have</w:t>
      </w:r>
      <w:r w:rsidR="00F763B4" w:rsidRPr="00F763B4">
        <w:t xml:space="preserve"> ma</w:t>
      </w:r>
      <w:r>
        <w:t>d</w:t>
      </w:r>
      <w:r w:rsidR="00F763B4" w:rsidRPr="00F763B4">
        <w:t xml:space="preserve">e it much easier to convert offices, industrial and other buildings into homes without the </w:t>
      </w:r>
      <w:r w:rsidR="00B75C9C">
        <w:t>proper</w:t>
      </w:r>
      <w:r w:rsidR="00F763B4" w:rsidRPr="00F763B4">
        <w:t xml:space="preserve"> planning scrutiny. By ducking the strategic and d</w:t>
      </w:r>
      <w:r w:rsidR="00941F5C">
        <w:t xml:space="preserve">iscretionary </w:t>
      </w:r>
      <w:r w:rsidR="00F763B4" w:rsidRPr="00F763B4">
        <w:t xml:space="preserve">planning process key requirements are missed that promote the quality and appropriate location of homes, </w:t>
      </w:r>
      <w:r w:rsidR="00DA6FEB">
        <w:t xml:space="preserve">and </w:t>
      </w:r>
      <w:r w:rsidR="0049196D">
        <w:t xml:space="preserve">cut </w:t>
      </w:r>
      <w:r w:rsidR="00F763B4" w:rsidRPr="00F763B4">
        <w:t>developer contributions towards affordable housing and local amenities</w:t>
      </w:r>
      <w:r w:rsidR="00331F91">
        <w:rPr>
          <w:rStyle w:val="FootnoteReference"/>
        </w:rPr>
        <w:footnoteReference w:id="2"/>
      </w:r>
      <w:r w:rsidR="00F97493" w:rsidRPr="002F5657">
        <w:rPr>
          <w:vertAlign w:val="superscript"/>
        </w:rPr>
        <w:t>,</w:t>
      </w:r>
      <w:r w:rsidR="00F97493">
        <w:rPr>
          <w:rStyle w:val="FootnoteReference"/>
        </w:rPr>
        <w:footnoteReference w:id="3"/>
      </w:r>
      <w:r w:rsidR="00F97493">
        <w:t xml:space="preserve"> </w:t>
      </w:r>
      <w:r w:rsidR="00F763B4" w:rsidRPr="00F763B4">
        <w:t>.</w:t>
      </w:r>
      <w:r w:rsidR="44021C5F" w:rsidRPr="00F763B4">
        <w:t xml:space="preserve"> Converting </w:t>
      </w:r>
      <w:r w:rsidR="00E4142F">
        <w:t xml:space="preserve">empty </w:t>
      </w:r>
      <w:r w:rsidR="44021C5F" w:rsidRPr="00F763B4">
        <w:t xml:space="preserve">buildings into homes can be part of </w:t>
      </w:r>
      <w:r w:rsidR="00E4142F">
        <w:t>the response to</w:t>
      </w:r>
      <w:r w:rsidR="002F5657">
        <w:t xml:space="preserve"> </w:t>
      </w:r>
      <w:r w:rsidR="3D4210C1" w:rsidRPr="00F763B4">
        <w:t xml:space="preserve">the </w:t>
      </w:r>
      <w:r w:rsidR="19FA1D6D" w:rsidRPr="00F763B4">
        <w:t>housing</w:t>
      </w:r>
      <w:r w:rsidR="4F60153C" w:rsidRPr="00F763B4">
        <w:t xml:space="preserve"> </w:t>
      </w:r>
      <w:r w:rsidR="3D4210C1" w:rsidRPr="00F763B4">
        <w:t>cris</w:t>
      </w:r>
      <w:r w:rsidR="002F5657">
        <w:t>i</w:t>
      </w:r>
      <w:r w:rsidR="3D4210C1" w:rsidRPr="00F763B4">
        <w:t>s but only if they provide re</w:t>
      </w:r>
      <w:r w:rsidR="13A818AE" w:rsidRPr="00F763B4">
        <w:t>s</w:t>
      </w:r>
      <w:r w:rsidR="764EFA39" w:rsidRPr="00F763B4">
        <w:t>idents</w:t>
      </w:r>
      <w:r w:rsidR="3D4210C1" w:rsidRPr="00F763B4">
        <w:t xml:space="preserve"> with</w:t>
      </w:r>
      <w:r w:rsidR="4CA632CE" w:rsidRPr="00F763B4">
        <w:t xml:space="preserve"> </w:t>
      </w:r>
      <w:r w:rsidR="00E4142F">
        <w:t>good</w:t>
      </w:r>
      <w:r w:rsidR="4CA632CE" w:rsidRPr="00F763B4">
        <w:t xml:space="preserve"> building</w:t>
      </w:r>
      <w:r w:rsidR="3D4210C1" w:rsidRPr="00F763B4">
        <w:t xml:space="preserve"> </w:t>
      </w:r>
      <w:r w:rsidR="746320B0" w:rsidRPr="00F763B4">
        <w:t>st</w:t>
      </w:r>
      <w:r w:rsidR="3D4210C1" w:rsidRPr="00F763B4">
        <w:t>andards and</w:t>
      </w:r>
      <w:r w:rsidR="58921D90" w:rsidRPr="00F763B4">
        <w:t xml:space="preserve"> </w:t>
      </w:r>
      <w:r w:rsidR="002F5657">
        <w:t xml:space="preserve">access </w:t>
      </w:r>
      <w:r w:rsidR="00131BC7">
        <w:t xml:space="preserve">to </w:t>
      </w:r>
      <w:r w:rsidR="3D4210C1" w:rsidRPr="00F763B4">
        <w:t>local service</w:t>
      </w:r>
      <w:r w:rsidR="002F5657">
        <w:t>s</w:t>
      </w:r>
      <w:r w:rsidR="3D4210C1" w:rsidRPr="00F763B4">
        <w:t xml:space="preserve"> to </w:t>
      </w:r>
      <w:r w:rsidR="008955EF">
        <w:t>live</w:t>
      </w:r>
      <w:r w:rsidR="3D4210C1" w:rsidRPr="00F763B4">
        <w:t xml:space="preserve"> a decent life.</w:t>
      </w:r>
    </w:p>
    <w:p w14:paraId="2344127D" w14:textId="657A38E0" w:rsidR="00B43A97" w:rsidRDefault="00F763B4" w:rsidP="00B43A97">
      <w:pPr>
        <w:pStyle w:val="Heading2"/>
        <w:spacing w:line="276" w:lineRule="auto"/>
      </w:pPr>
      <w:r>
        <w:t>What is permitted development?</w:t>
      </w:r>
    </w:p>
    <w:p w14:paraId="794C3EDF" w14:textId="34530C42" w:rsidR="00F763B4" w:rsidRPr="00F1071A" w:rsidRDefault="00F763B4" w:rsidP="00F1071A">
      <w:r w:rsidRPr="00F763B4">
        <w:t xml:space="preserve">Historically, PDR aimed to simplify relatively insignificant development applications, such as </w:t>
      </w:r>
      <w:r w:rsidR="004A5A05">
        <w:t>home</w:t>
      </w:r>
      <w:r w:rsidRPr="00F763B4">
        <w:t xml:space="preserve"> extensions</w:t>
      </w:r>
      <w:r>
        <w:t>.</w:t>
      </w:r>
      <w:r w:rsidRPr="00F763B4">
        <w:t xml:space="preserve"> More significant change of use of an existing building to residential use required a full planning application. However, since 2013, planning policy has changed several times, allowing a growing range of buildings to be converted into homes via PDR. </w:t>
      </w:r>
      <w:r w:rsidR="001116DF">
        <w:t>B</w:t>
      </w:r>
      <w:r w:rsidR="001116DF" w:rsidRPr="00F763B4">
        <w:t>etween 2015 and</w:t>
      </w:r>
      <w:r w:rsidR="001116DF">
        <w:t xml:space="preserve"> </w:t>
      </w:r>
      <w:r w:rsidR="001116DF" w:rsidRPr="00F763B4">
        <w:t>2023</w:t>
      </w:r>
      <w:r w:rsidR="001116DF">
        <w:t>, o</w:t>
      </w:r>
      <w:r w:rsidRPr="00F763B4">
        <w:t>ver 10</w:t>
      </w:r>
      <w:r w:rsidR="004C1430">
        <w:t>8</w:t>
      </w:r>
      <w:r w:rsidRPr="00F763B4">
        <w:t xml:space="preserve">,000 homes have been produced through this route. </w:t>
      </w:r>
    </w:p>
    <w:p w14:paraId="11A223E8" w14:textId="0369EFC1" w:rsidR="00187BFB" w:rsidRPr="00187BFB" w:rsidRDefault="00F763B4" w:rsidP="00F30A00">
      <w:pPr>
        <w:pStyle w:val="Heading2"/>
        <w:spacing w:line="276" w:lineRule="auto"/>
      </w:pPr>
      <w:r>
        <w:t xml:space="preserve">What </w:t>
      </w:r>
      <w:r w:rsidR="00C26330">
        <w:t>is the problem with PDR</w:t>
      </w:r>
      <w:r>
        <w:t>?</w:t>
      </w:r>
    </w:p>
    <w:p w14:paraId="6222E64B" w14:textId="39A4F158" w:rsidR="004A3629" w:rsidRDefault="005609F0" w:rsidP="004A3629">
      <w:pPr>
        <w:spacing w:after="120"/>
      </w:pPr>
      <w:bookmarkStart w:id="0" w:name="_Toc124430507"/>
      <w:r w:rsidRPr="00F763B4">
        <w:t>Research has already shown this is resulting in some very poor quality ‘homes’</w:t>
      </w:r>
      <w:r>
        <w:rPr>
          <w:rStyle w:val="FootnoteReference"/>
        </w:rPr>
        <w:footnoteReference w:id="4"/>
      </w:r>
      <w:r>
        <w:t>, and that</w:t>
      </w:r>
      <w:r w:rsidRPr="00F763B4">
        <w:t xml:space="preserve"> deregulation is </w:t>
      </w:r>
      <w:r>
        <w:t>producing</w:t>
      </w:r>
      <w:r w:rsidRPr="00F763B4">
        <w:t xml:space="preserve"> some homes that are unsafe and </w:t>
      </w:r>
      <w:r w:rsidRPr="00E10C09">
        <w:t xml:space="preserve">a </w:t>
      </w:r>
      <w:r w:rsidR="0049196D">
        <w:t xml:space="preserve">health </w:t>
      </w:r>
      <w:r w:rsidRPr="00E10C09">
        <w:t>risk to their occupants</w:t>
      </w:r>
      <w:r w:rsidRPr="00F763B4">
        <w:t>.</w:t>
      </w:r>
      <w:r w:rsidR="00E10C09">
        <w:t xml:space="preserve"> </w:t>
      </w:r>
      <w:r>
        <w:t>Examples of PDR buildings where there have been serious fire safety concerns</w:t>
      </w:r>
      <w:r w:rsidR="0049196D">
        <w:t>,</w:t>
      </w:r>
      <w:r>
        <w:t xml:space="preserve"> include </w:t>
      </w:r>
      <w:r w:rsidRPr="000A4AAA">
        <w:rPr>
          <w:b/>
          <w:bCs/>
        </w:rPr>
        <w:t>Joseph Rank House in Harlow</w:t>
      </w:r>
      <w:r>
        <w:t xml:space="preserve"> and </w:t>
      </w:r>
      <w:r w:rsidRPr="000A4AAA">
        <w:rPr>
          <w:b/>
          <w:bCs/>
        </w:rPr>
        <w:t>Sycamore House in Croydon</w:t>
      </w:r>
      <w:r>
        <w:rPr>
          <w:rStyle w:val="FootnoteReference"/>
        </w:rPr>
        <w:footnoteReference w:id="5"/>
      </w:r>
      <w:r>
        <w:t xml:space="preserve">.  </w:t>
      </w:r>
    </w:p>
    <w:p w14:paraId="2B2E7585" w14:textId="2C736628" w:rsidR="004A3629" w:rsidRDefault="004A3629" w:rsidP="004A3629">
      <w:pPr>
        <w:spacing w:after="120"/>
      </w:pPr>
      <w:r>
        <w:t xml:space="preserve">Multiple concerns have been raised about PDR conversions, including: </w:t>
      </w:r>
    </w:p>
    <w:p w14:paraId="305F3AEC" w14:textId="77777777" w:rsidR="004A3629" w:rsidRDefault="004A3629" w:rsidP="004A3629">
      <w:pPr>
        <w:pStyle w:val="ListParagraph"/>
        <w:numPr>
          <w:ilvl w:val="0"/>
          <w:numId w:val="17"/>
        </w:numPr>
        <w:spacing w:after="120"/>
      </w:pPr>
      <w:r>
        <w:t xml:space="preserve">Fire safety concerns, regarding cladding, evacuation and internal design safety </w:t>
      </w:r>
    </w:p>
    <w:p w14:paraId="50642DC6" w14:textId="77777777" w:rsidR="004A3629" w:rsidRDefault="004A3629" w:rsidP="004A3629">
      <w:pPr>
        <w:pStyle w:val="ListParagraph"/>
        <w:numPr>
          <w:ilvl w:val="0"/>
          <w:numId w:val="17"/>
        </w:numPr>
      </w:pPr>
      <w:r>
        <w:t xml:space="preserve">High numbers of extremely small flats in former offices (e.g. over 100 units of 15-20m2 floor space), some overcrowded with large families  </w:t>
      </w:r>
    </w:p>
    <w:p w14:paraId="2E3CEE0E" w14:textId="77777777" w:rsidR="004A3629" w:rsidRDefault="004A3629" w:rsidP="004A3629">
      <w:pPr>
        <w:pStyle w:val="ListParagraph"/>
        <w:numPr>
          <w:ilvl w:val="0"/>
          <w:numId w:val="17"/>
        </w:numPr>
      </w:pPr>
      <w:r>
        <w:lastRenderedPageBreak/>
        <w:t xml:space="preserve">Inadequate window arrangements, inoperable windows, no locks, lack of privacy  </w:t>
      </w:r>
    </w:p>
    <w:p w14:paraId="728562DA" w14:textId="77777777" w:rsidR="004A3629" w:rsidRDefault="004A3629" w:rsidP="004A3629">
      <w:pPr>
        <w:pStyle w:val="ListParagraph"/>
        <w:numPr>
          <w:ilvl w:val="0"/>
          <w:numId w:val="17"/>
        </w:numPr>
      </w:pPr>
      <w:r>
        <w:t xml:space="preserve">Overheating in summer and excess cold in the winter </w:t>
      </w:r>
    </w:p>
    <w:p w14:paraId="022E4840" w14:textId="77777777" w:rsidR="004A3629" w:rsidRDefault="004A3629" w:rsidP="004A3629">
      <w:pPr>
        <w:pStyle w:val="ListParagraph"/>
        <w:numPr>
          <w:ilvl w:val="0"/>
          <w:numId w:val="17"/>
        </w:numPr>
      </w:pPr>
      <w:r>
        <w:t xml:space="preserve">Mould and damp </w:t>
      </w:r>
    </w:p>
    <w:p w14:paraId="449666E3" w14:textId="77777777" w:rsidR="004A3629" w:rsidRDefault="004A3629" w:rsidP="004A3629">
      <w:pPr>
        <w:pStyle w:val="ListParagraph"/>
        <w:numPr>
          <w:ilvl w:val="0"/>
          <w:numId w:val="17"/>
        </w:numPr>
      </w:pPr>
      <w:r>
        <w:t xml:space="preserve">Infestations, such as cockroaches and rats </w:t>
      </w:r>
    </w:p>
    <w:p w14:paraId="58F5EFAD" w14:textId="77777777" w:rsidR="004A3629" w:rsidRDefault="004A3629" w:rsidP="004A3629">
      <w:pPr>
        <w:pStyle w:val="ListParagraph"/>
        <w:numPr>
          <w:ilvl w:val="0"/>
          <w:numId w:val="17"/>
        </w:numPr>
      </w:pPr>
      <w:r>
        <w:t xml:space="preserve">Absence of outdoor or play space provision for children  </w:t>
      </w:r>
    </w:p>
    <w:p w14:paraId="6DF8AF30" w14:textId="77777777" w:rsidR="004A3629" w:rsidRDefault="004A3629" w:rsidP="004A3629">
      <w:pPr>
        <w:pStyle w:val="ListParagraph"/>
        <w:numPr>
          <w:ilvl w:val="0"/>
          <w:numId w:val="17"/>
        </w:numPr>
      </w:pPr>
      <w:r>
        <w:t xml:space="preserve">Remote, noisy and polluted locations, e.g. active industrial estates and on major roads </w:t>
      </w:r>
    </w:p>
    <w:p w14:paraId="7865C17D" w14:textId="77777777" w:rsidR="004A3629" w:rsidRDefault="004A3629" w:rsidP="004A3629">
      <w:pPr>
        <w:pStyle w:val="ListParagraph"/>
        <w:numPr>
          <w:ilvl w:val="0"/>
          <w:numId w:val="17"/>
        </w:numPr>
      </w:pPr>
      <w:r>
        <w:t xml:space="preserve">Inadequate maintenance from building managers </w:t>
      </w:r>
    </w:p>
    <w:p w14:paraId="72BCDEC1" w14:textId="77777777" w:rsidR="004A3629" w:rsidRDefault="004A3629" w:rsidP="004A3629">
      <w:pPr>
        <w:pStyle w:val="ListParagraph"/>
        <w:numPr>
          <w:ilvl w:val="0"/>
          <w:numId w:val="17"/>
        </w:numPr>
      </w:pPr>
      <w:r>
        <w:t xml:space="preserve">Low fees and lost developer contributions to local amenities and affordable homes.  </w:t>
      </w:r>
    </w:p>
    <w:p w14:paraId="6BA84CE8" w14:textId="09087B2E" w:rsidR="00F763B4" w:rsidRDefault="00A75ED6" w:rsidP="00E73B41">
      <w:pPr>
        <w:spacing w:after="120"/>
      </w:pPr>
      <w:r>
        <w:t>R</w:t>
      </w:r>
      <w:r w:rsidR="00F763B4">
        <w:t>esidents have described the detrimental impact of being housed in extremely low-quality PDR ho</w:t>
      </w:r>
      <w:r w:rsidR="005F7685">
        <w:t>using</w:t>
      </w:r>
      <w:r w:rsidR="00F763B4">
        <w:t xml:space="preserve">. They have likened it to ‘living in a prison’ and feeling in fear for their safety:  </w:t>
      </w:r>
    </w:p>
    <w:p w14:paraId="329B4031" w14:textId="2B0F878D" w:rsidR="00F763B4" w:rsidRDefault="00F763B4" w:rsidP="00E73B41">
      <w:pPr>
        <w:spacing w:after="120"/>
        <w:ind w:left="284"/>
      </w:pPr>
      <w:r>
        <w:t>‘</w:t>
      </w:r>
      <w:r w:rsidRPr="00331F91">
        <w:rPr>
          <w:i/>
          <w:iCs/>
        </w:rPr>
        <w:t>Since I’ve been living there, three times we’ve had to get out in the middle of the night… It was so scary. My daughter has nightmares because of it. Every time I pass that place, I think, ‘Oh my God, we could be like Grenfell’ … [The council have] known the building wasn’t safe since March 2021, and nothing’s been done until the fire occurred and we had to evacuate the building.</w:t>
      </w:r>
      <w:r>
        <w:t xml:space="preserve">’ PDR resident, Croydon </w:t>
      </w:r>
    </w:p>
    <w:p w14:paraId="0806935C" w14:textId="2A458CD6" w:rsidR="00F763B4" w:rsidRDefault="00F763B4" w:rsidP="00210FBD">
      <w:pPr>
        <w:spacing w:after="240"/>
        <w:ind w:left="284"/>
      </w:pPr>
      <w:r>
        <w:t>‘</w:t>
      </w:r>
      <w:r w:rsidRPr="00331F91">
        <w:rPr>
          <w:i/>
          <w:iCs/>
        </w:rPr>
        <w:t>The developers ... took short cuts with regard to safety. We're now paying the price via</w:t>
      </w:r>
      <w:r w:rsidR="00331F91" w:rsidRPr="00331F91">
        <w:rPr>
          <w:i/>
          <w:iCs/>
        </w:rPr>
        <w:t xml:space="preserve"> </w:t>
      </w:r>
      <w:r w:rsidRPr="00331F91">
        <w:rPr>
          <w:i/>
          <w:iCs/>
        </w:rPr>
        <w:t>astronomical service charges and cannot sell up. Very stressful. Wished we'd never moved here.</w:t>
      </w:r>
      <w:r>
        <w:t>’ PDR resident, Lincoln</w:t>
      </w:r>
    </w:p>
    <w:p w14:paraId="2AAF1B8D" w14:textId="55991127" w:rsidR="00F763B4" w:rsidRDefault="00F763B4" w:rsidP="00210FBD">
      <w:pPr>
        <w:spacing w:after="240"/>
      </w:pPr>
      <w:r>
        <w:t xml:space="preserve">Poor quality physical environments directly impact the health of residents and also magnify issues such as anti-social behaviour. </w:t>
      </w:r>
      <w:r w:rsidR="00446E1A">
        <w:t>UCL’s</w:t>
      </w:r>
      <w:r>
        <w:t xml:space="preserve"> </w:t>
      </w:r>
      <w:r w:rsidR="000E53F0">
        <w:t xml:space="preserve">review </w:t>
      </w:r>
      <w:r w:rsidR="004D1D41">
        <w:t xml:space="preserve">of PDR housing </w:t>
      </w:r>
      <w:r w:rsidR="00732E10">
        <w:t xml:space="preserve">for MHCLG </w:t>
      </w:r>
      <w:r w:rsidR="00E10C09">
        <w:t xml:space="preserve">(2020) </w:t>
      </w:r>
      <w:r w:rsidR="00732E10">
        <w:t xml:space="preserve">found that the larger conversions tended to be of a lower standard. A more recent </w:t>
      </w:r>
      <w:r>
        <w:t>pilot study in four London boroughs found lower wellbeing scores among survey participants were associated with lack of space, no indoor cooling options, reduced local amenities and low perceived safety</w:t>
      </w:r>
      <w:r w:rsidR="009D30BD">
        <w:rPr>
          <w:rStyle w:val="FootnoteReference"/>
        </w:rPr>
        <w:footnoteReference w:id="6"/>
      </w:r>
      <w:r>
        <w:t xml:space="preserve">.   </w:t>
      </w:r>
    </w:p>
    <w:p w14:paraId="0A502F19" w14:textId="60C8F186" w:rsidR="00F21DCB" w:rsidRDefault="006A2900" w:rsidP="00E73B41">
      <w:pPr>
        <w:spacing w:after="120"/>
      </w:pPr>
      <w:r>
        <w:t>Consultation with public bodies has highlighted significant deficiencies in capacity to influence the conditions people are being housed in under PDR</w:t>
      </w:r>
      <w:r w:rsidR="00E86BD3">
        <w:t xml:space="preserve">. </w:t>
      </w:r>
      <w:r w:rsidR="006376FE">
        <w:t xml:space="preserve">As part of </w:t>
      </w:r>
      <w:r w:rsidR="002F6A92">
        <w:t>current</w:t>
      </w:r>
      <w:r w:rsidR="006376FE">
        <w:t xml:space="preserve"> research with UCL</w:t>
      </w:r>
      <w:r w:rsidR="006376FE">
        <w:rPr>
          <w:rStyle w:val="FootnoteReference"/>
        </w:rPr>
        <w:footnoteReference w:id="7"/>
      </w:r>
      <w:r w:rsidR="006376FE">
        <w:t>, w</w:t>
      </w:r>
      <w:r w:rsidR="00F21DCB">
        <w:t xml:space="preserve">e consulted 86 local government </w:t>
      </w:r>
      <w:r w:rsidR="00B35A8F">
        <w:t>officers from planning, public health, building control and environmental health departments</w:t>
      </w:r>
      <w:r w:rsidR="00797EF2">
        <w:t>. T</w:t>
      </w:r>
      <w:r w:rsidR="00BD0529">
        <w:t xml:space="preserve">here was a clear consensus that PDR rules are not producing safe and healthy homes </w:t>
      </w:r>
      <w:r w:rsidR="006E7E95">
        <w:t>than</w:t>
      </w:r>
      <w:r w:rsidR="00BD0529">
        <w:t xml:space="preserve"> </w:t>
      </w:r>
      <w:r w:rsidR="006E7E95">
        <w:t>people need</w:t>
      </w:r>
      <w:r w:rsidR="00BD0529">
        <w:t>. In particular, concerns were raise</w:t>
      </w:r>
      <w:r w:rsidR="006E7E95">
        <w:t>d about</w:t>
      </w:r>
      <w:r w:rsidR="00E86BD3">
        <w:t xml:space="preserve"> how</w:t>
      </w:r>
      <w:r w:rsidR="00BD0529">
        <w:t xml:space="preserve">: </w:t>
      </w:r>
    </w:p>
    <w:p w14:paraId="59A4EBAD" w14:textId="77777777" w:rsidR="00BD0529" w:rsidRPr="00E70584" w:rsidRDefault="00BD0529" w:rsidP="00E73B41">
      <w:pPr>
        <w:pStyle w:val="ListParagraph"/>
        <w:numPr>
          <w:ilvl w:val="0"/>
          <w:numId w:val="16"/>
        </w:numPr>
        <w:spacing w:after="120" w:line="259" w:lineRule="auto"/>
        <w:ind w:left="567" w:hanging="425"/>
      </w:pPr>
      <w:r w:rsidRPr="001C0442">
        <w:rPr>
          <w:rFonts w:eastAsia="Times New Roman" w:cs="Segoe UI"/>
          <w:b/>
          <w:bCs/>
          <w:lang w:eastAsia="en-GB"/>
        </w:rPr>
        <w:t>Lower standards under PDR are producing very poor quality and insecure conditions</w:t>
      </w:r>
      <w:r>
        <w:rPr>
          <w:rFonts w:eastAsia="Times New Roman" w:cs="Segoe UI"/>
          <w:lang w:eastAsia="en-GB"/>
        </w:rPr>
        <w:t>, especially for vulnerable people in temporary accommodation</w:t>
      </w:r>
    </w:p>
    <w:p w14:paraId="26F23DF7" w14:textId="3103028B" w:rsidR="00BD0529" w:rsidRDefault="00BD0529" w:rsidP="004A3629">
      <w:pPr>
        <w:pStyle w:val="ListParagraph"/>
        <w:numPr>
          <w:ilvl w:val="0"/>
          <w:numId w:val="16"/>
        </w:numPr>
        <w:spacing w:after="160" w:line="259" w:lineRule="auto"/>
        <w:ind w:left="567" w:hanging="425"/>
      </w:pPr>
      <w:r w:rsidRPr="001C0442">
        <w:rPr>
          <w:b/>
          <w:bCs/>
        </w:rPr>
        <w:t xml:space="preserve">The current </w:t>
      </w:r>
      <w:r w:rsidR="00500B6C">
        <w:rPr>
          <w:b/>
          <w:bCs/>
        </w:rPr>
        <w:t xml:space="preserve">regulatory </w:t>
      </w:r>
      <w:r w:rsidRPr="001C0442">
        <w:rPr>
          <w:b/>
          <w:bCs/>
        </w:rPr>
        <w:t>levers available to local authorities are insufficient</w:t>
      </w:r>
      <w:r>
        <w:t xml:space="preserve"> to empower local authorities in shaping the quality of PDR housing </w:t>
      </w:r>
    </w:p>
    <w:p w14:paraId="581F94D0" w14:textId="77777777" w:rsidR="002F6A92" w:rsidRDefault="002F6A92" w:rsidP="004A3629">
      <w:pPr>
        <w:pStyle w:val="ListParagraph"/>
        <w:numPr>
          <w:ilvl w:val="0"/>
          <w:numId w:val="16"/>
        </w:numPr>
        <w:spacing w:after="160" w:line="259" w:lineRule="auto"/>
        <w:ind w:left="567" w:hanging="425"/>
      </w:pPr>
      <w:r w:rsidRPr="001C0442">
        <w:rPr>
          <w:b/>
          <w:bCs/>
        </w:rPr>
        <w:t>PDR housing undermines affordable housing contributions</w:t>
      </w:r>
      <w:r w:rsidRPr="00281DBE">
        <w:t xml:space="preserve"> and wider contributions</w:t>
      </w:r>
      <w:r>
        <w:t xml:space="preserve"> to </w:t>
      </w:r>
      <w:r w:rsidRPr="00281DBE">
        <w:t xml:space="preserve">community </w:t>
      </w:r>
      <w:r>
        <w:t>amenities and services via Section 106 agreements</w:t>
      </w:r>
      <w:r w:rsidRPr="00281DBE">
        <w:t xml:space="preserve"> </w:t>
      </w:r>
    </w:p>
    <w:p w14:paraId="363FF8B5" w14:textId="1179F7EF" w:rsidR="00BD0529" w:rsidRDefault="00BD0529" w:rsidP="004A3629">
      <w:pPr>
        <w:pStyle w:val="ListParagraph"/>
        <w:numPr>
          <w:ilvl w:val="0"/>
          <w:numId w:val="16"/>
        </w:numPr>
        <w:spacing w:after="160" w:line="259" w:lineRule="auto"/>
        <w:ind w:left="567" w:hanging="425"/>
      </w:pPr>
      <w:r w:rsidRPr="001C0442">
        <w:rPr>
          <w:rFonts w:eastAsia="Times New Roman" w:cs="Segoe UI"/>
          <w:b/>
          <w:bCs/>
          <w:lang w:eastAsia="en-GB"/>
        </w:rPr>
        <w:t>Resourcing pressures in local authorities is making it hard to properly scrutinise PDR</w:t>
      </w:r>
      <w:r>
        <w:rPr>
          <w:rFonts w:eastAsia="Times New Roman" w:cs="Segoe UI"/>
          <w:lang w:eastAsia="en-GB"/>
        </w:rPr>
        <w:t xml:space="preserve"> prior approval applications, including the reduced timeframe and fees </w:t>
      </w:r>
      <w:r w:rsidR="0098671A">
        <w:rPr>
          <w:rFonts w:eastAsia="Times New Roman" w:cs="Segoe UI"/>
          <w:lang w:eastAsia="en-GB"/>
        </w:rPr>
        <w:t>involved</w:t>
      </w:r>
    </w:p>
    <w:p w14:paraId="26D07AEB" w14:textId="32A893E4" w:rsidR="00D31973" w:rsidRDefault="00BD0529" w:rsidP="00C12507">
      <w:pPr>
        <w:pStyle w:val="ListParagraph"/>
        <w:numPr>
          <w:ilvl w:val="0"/>
          <w:numId w:val="16"/>
        </w:numPr>
        <w:spacing w:after="160" w:line="259" w:lineRule="auto"/>
        <w:ind w:left="567" w:hanging="425"/>
      </w:pPr>
      <w:r w:rsidRPr="001C0442">
        <w:rPr>
          <w:b/>
          <w:bCs/>
        </w:rPr>
        <w:t>There needs to be clearer requirements to use health evidence when taking decisions on PDR housing</w:t>
      </w:r>
      <w:r>
        <w:t xml:space="preserve">, including </w:t>
      </w:r>
      <w:r w:rsidR="00006B3A">
        <w:t xml:space="preserve">health </w:t>
      </w:r>
      <w:r w:rsidR="00334420">
        <w:t xml:space="preserve">impacts </w:t>
      </w:r>
      <w:r w:rsidR="00006B3A">
        <w:t xml:space="preserve">to </w:t>
      </w:r>
      <w:r>
        <w:t>the individual and wider community</w:t>
      </w:r>
      <w:r w:rsidR="00006B3A">
        <w:t>.</w:t>
      </w:r>
    </w:p>
    <w:p w14:paraId="579FFDF3" w14:textId="77777777" w:rsidR="00E07C4A" w:rsidRDefault="00E07C4A" w:rsidP="00193309">
      <w:pPr>
        <w:pStyle w:val="ListParagraph"/>
        <w:ind w:left="284" w:firstLine="0"/>
      </w:pPr>
    </w:p>
    <w:p w14:paraId="2F089171" w14:textId="1DE0E438" w:rsidR="006A2900" w:rsidRDefault="006A2900" w:rsidP="00193309">
      <w:pPr>
        <w:pStyle w:val="ListParagraph"/>
        <w:ind w:left="284" w:firstLine="0"/>
      </w:pPr>
      <w:r>
        <w:t>‘</w:t>
      </w:r>
      <w:r w:rsidRPr="006A2900">
        <w:rPr>
          <w:i/>
          <w:iCs/>
        </w:rPr>
        <w:t xml:space="preserve">[PDR homes] were quick wins for </w:t>
      </w:r>
      <w:r w:rsidR="004417E8">
        <w:rPr>
          <w:i/>
          <w:iCs/>
        </w:rPr>
        <w:t xml:space="preserve">a </w:t>
      </w:r>
      <w:r w:rsidRPr="006A2900">
        <w:rPr>
          <w:i/>
          <w:iCs/>
        </w:rPr>
        <w:t>fast buck for some dodgy developers. They're not going to be investing in them, they're not going to be keeping them up to date, they're not going to be maintaining them. They're just going to fall into worse and worse repair until they need to be pulled down.</w:t>
      </w:r>
      <w:r>
        <w:t xml:space="preserve">’ (local government planning officer) </w:t>
      </w:r>
    </w:p>
    <w:p w14:paraId="65F7082C" w14:textId="77777777" w:rsidR="006A2900" w:rsidRPr="007E01E2" w:rsidRDefault="006A2900" w:rsidP="00193309">
      <w:pPr>
        <w:pStyle w:val="ListParagraph"/>
        <w:ind w:left="284" w:firstLine="0"/>
        <w:rPr>
          <w:sz w:val="16"/>
          <w:szCs w:val="16"/>
        </w:rPr>
      </w:pPr>
    </w:p>
    <w:p w14:paraId="76C060D5" w14:textId="0416FAE7" w:rsidR="006A2900" w:rsidRDefault="006A2900" w:rsidP="00193309">
      <w:pPr>
        <w:pStyle w:val="ListParagraph"/>
        <w:ind w:left="284" w:firstLine="0"/>
      </w:pPr>
      <w:r>
        <w:lastRenderedPageBreak/>
        <w:t>‘</w:t>
      </w:r>
      <w:r w:rsidRPr="006A2900">
        <w:rPr>
          <w:i/>
          <w:iCs/>
        </w:rPr>
        <w:t xml:space="preserve">The difficulty is, there are so many different classes within the </w:t>
      </w:r>
      <w:r w:rsidR="006F41C3">
        <w:rPr>
          <w:i/>
          <w:iCs/>
        </w:rPr>
        <w:t>[General Permitted Development Order]</w:t>
      </w:r>
      <w:r w:rsidRPr="006A2900">
        <w:rPr>
          <w:i/>
          <w:iCs/>
        </w:rPr>
        <w:t>, it is a minefield for planning officers to know what conditions they can apply and then make a decision on whether it is appropriate and won't go to appeal...We need consistency for prior approval. It would all be solved if we didn't have PD and everything went through the planning system.</w:t>
      </w:r>
      <w:r>
        <w:t xml:space="preserve">’ (local government policy officer) </w:t>
      </w:r>
    </w:p>
    <w:p w14:paraId="1AC0C545" w14:textId="38547187" w:rsidR="00F763B4" w:rsidRDefault="00F763B4" w:rsidP="0098671A">
      <w:pPr>
        <w:spacing w:after="160" w:line="259" w:lineRule="auto"/>
      </w:pPr>
      <w:r>
        <w:t>While not all PDR ho</w:t>
      </w:r>
      <w:r w:rsidR="0037351C">
        <w:t>using</w:t>
      </w:r>
      <w:r>
        <w:t xml:space="preserve"> </w:t>
      </w:r>
      <w:r w:rsidR="0037351C">
        <w:t>is</w:t>
      </w:r>
      <w:r>
        <w:t xml:space="preserve"> poor quality, it is the poorest quality units which often house </w:t>
      </w:r>
      <w:r w:rsidR="00AF4737">
        <w:t xml:space="preserve">the most vulnerable </w:t>
      </w:r>
      <w:r>
        <w:t>residents, particularly those in temporary accommodation. Inadequate planning checks and building control increases the risks faced by residents</w:t>
      </w:r>
      <w:r w:rsidR="0037351C">
        <w:t>. T</w:t>
      </w:r>
      <w:r>
        <w:t xml:space="preserve">his </w:t>
      </w:r>
      <w:r w:rsidR="0037351C">
        <w:t xml:space="preserve">situation </w:t>
      </w:r>
      <w:r>
        <w:t>is entirely preventable. We also found that Building Regulations are not consistently applied to PDR homes. A ‘material change of use’ to dwellings or flats are not required to consider rules on</w:t>
      </w:r>
      <w:r w:rsidR="00053CB4">
        <w:t>:</w:t>
      </w:r>
      <w:r>
        <w:t xml:space="preserve"> structural safety, accessibility, risk of falls, resistance to moisture, or overheating.  </w:t>
      </w:r>
    </w:p>
    <w:p w14:paraId="0E514019" w14:textId="3D1A3E92" w:rsidR="00F763B4" w:rsidRPr="00633F9C" w:rsidRDefault="00F763B4" w:rsidP="00F22D26">
      <w:r>
        <w:t xml:space="preserve">The </w:t>
      </w:r>
      <w:r w:rsidR="00483D1D">
        <w:t>Building Safety Regulation</w:t>
      </w:r>
      <w:r>
        <w:t xml:space="preserve">s regarding fire safety </w:t>
      </w:r>
      <w:r w:rsidR="00483D1D">
        <w:t>o</w:t>
      </w:r>
      <w:r w:rsidR="00FC14A2">
        <w:t xml:space="preserve">n ‘high risk’ buildings </w:t>
      </w:r>
      <w:r w:rsidR="00CB7A25">
        <w:t>only</w:t>
      </w:r>
      <w:r>
        <w:t xml:space="preserve"> apply to PDR homes</w:t>
      </w:r>
      <w:r w:rsidR="00CB7A25">
        <w:t xml:space="preserve"> that fit within</w:t>
      </w:r>
      <w:r w:rsidR="002D4626">
        <w:t xml:space="preserve"> </w:t>
      </w:r>
      <w:r w:rsidR="002D4626" w:rsidRPr="002D4626">
        <w:t>The Town and Country Planning (General Permitted Development etc.) (England) (Amendment) (No. 2) Order 2021</w:t>
      </w:r>
      <w:r w:rsidR="00D36BC4">
        <w:t>. This means Planning Gateway One requirements apply to</w:t>
      </w:r>
      <w:r w:rsidR="002D4626" w:rsidRPr="002D4626">
        <w:t xml:space="preserve"> </w:t>
      </w:r>
      <w:r w:rsidR="00483D1D">
        <w:t xml:space="preserve">‘high risk’ </w:t>
      </w:r>
      <w:r w:rsidR="00D36BC4">
        <w:t>buildings</w:t>
      </w:r>
      <w:r w:rsidR="00D53A97">
        <w:t xml:space="preserve"> </w:t>
      </w:r>
      <w:r w:rsidR="00B45FF9">
        <w:t xml:space="preserve">currently </w:t>
      </w:r>
      <w:r w:rsidR="00D36BC4">
        <w:t xml:space="preserve">under </w:t>
      </w:r>
      <w:r w:rsidR="00797BB9" w:rsidRPr="00053CB4">
        <w:t xml:space="preserve">the </w:t>
      </w:r>
      <w:r w:rsidR="00987BBB" w:rsidRPr="00053CB4">
        <w:t xml:space="preserve">‘commercial’ </w:t>
      </w:r>
      <w:r w:rsidR="00797BB9" w:rsidRPr="00053CB4">
        <w:t>use</w:t>
      </w:r>
      <w:r w:rsidR="00797BB9">
        <w:t xml:space="preserve"> </w:t>
      </w:r>
      <w:r w:rsidR="00B45FF9">
        <w:t>(</w:t>
      </w:r>
      <w:r w:rsidR="00D36BC4">
        <w:t>class MA / E</w:t>
      </w:r>
      <w:r w:rsidR="00B45FF9">
        <w:t>)</w:t>
      </w:r>
      <w:r w:rsidR="00D36BC4">
        <w:t xml:space="preserve"> and </w:t>
      </w:r>
      <w:r w:rsidR="0000158B">
        <w:t xml:space="preserve">commercial buildings with </w:t>
      </w:r>
      <w:r w:rsidR="00B45FF9">
        <w:t xml:space="preserve">flats </w:t>
      </w:r>
      <w:r w:rsidR="0000158B">
        <w:t xml:space="preserve">above </w:t>
      </w:r>
      <w:r w:rsidR="00B45FF9">
        <w:t>(c</w:t>
      </w:r>
      <w:r w:rsidR="00D36BC4">
        <w:t>lass A and AA</w:t>
      </w:r>
      <w:r w:rsidR="00B45FF9">
        <w:t>)</w:t>
      </w:r>
      <w:r w:rsidR="00D36BC4">
        <w:t xml:space="preserve"> </w:t>
      </w:r>
      <w:r w:rsidR="002D4626" w:rsidRPr="002D4626">
        <w:t xml:space="preserve">which will contain 2 or more dwellinghouses </w:t>
      </w:r>
      <w:r w:rsidR="00D53A97">
        <w:t>over 18 meters or seven stories</w:t>
      </w:r>
      <w:r>
        <w:t xml:space="preserve">. </w:t>
      </w:r>
      <w:r w:rsidR="003352BE">
        <w:t>Therefore, the</w:t>
      </w:r>
      <w:r w:rsidR="009A7C58">
        <w:t xml:space="preserve"> </w:t>
      </w:r>
      <w:r w:rsidR="004007C0">
        <w:t>conversion of</w:t>
      </w:r>
      <w:r w:rsidR="00797BB9">
        <w:t xml:space="preserve"> </w:t>
      </w:r>
      <w:r w:rsidR="00797BB9" w:rsidRPr="00721B04">
        <w:rPr>
          <w:b/>
          <w:bCs/>
        </w:rPr>
        <w:t>storage centres</w:t>
      </w:r>
      <w:r w:rsidR="004007C0" w:rsidRPr="00721B04">
        <w:rPr>
          <w:b/>
          <w:bCs/>
        </w:rPr>
        <w:t>,</w:t>
      </w:r>
      <w:r w:rsidR="00797BB9" w:rsidRPr="00721B04">
        <w:rPr>
          <w:b/>
          <w:bCs/>
        </w:rPr>
        <w:t xml:space="preserve"> industrial building</w:t>
      </w:r>
      <w:r w:rsidR="009664CB" w:rsidRPr="00721B04">
        <w:rPr>
          <w:b/>
          <w:bCs/>
        </w:rPr>
        <w:t>s</w:t>
      </w:r>
      <w:r w:rsidR="00F03A5C" w:rsidRPr="00721B04">
        <w:rPr>
          <w:b/>
          <w:bCs/>
        </w:rPr>
        <w:t>, learning</w:t>
      </w:r>
      <w:r w:rsidR="00721B04">
        <w:rPr>
          <w:b/>
          <w:bCs/>
        </w:rPr>
        <w:t xml:space="preserve"> and</w:t>
      </w:r>
      <w:r w:rsidR="00F03A5C" w:rsidRPr="00721B04">
        <w:rPr>
          <w:b/>
          <w:bCs/>
        </w:rPr>
        <w:t xml:space="preserve"> community</w:t>
      </w:r>
      <w:r w:rsidR="00797BB9" w:rsidRPr="00721B04">
        <w:rPr>
          <w:b/>
          <w:bCs/>
        </w:rPr>
        <w:t xml:space="preserve"> </w:t>
      </w:r>
      <w:r w:rsidR="00F03A5C" w:rsidRPr="00721B04">
        <w:rPr>
          <w:b/>
          <w:bCs/>
        </w:rPr>
        <w:t>buildings</w:t>
      </w:r>
      <w:r w:rsidR="00721B04">
        <w:rPr>
          <w:b/>
          <w:bCs/>
        </w:rPr>
        <w:t>,</w:t>
      </w:r>
      <w:r w:rsidR="00F03A5C" w:rsidRPr="00721B04">
        <w:rPr>
          <w:b/>
          <w:bCs/>
        </w:rPr>
        <w:t xml:space="preserve"> and everything else</w:t>
      </w:r>
      <w:r w:rsidR="00F03A5C">
        <w:t xml:space="preserve"> </w:t>
      </w:r>
      <w:r w:rsidR="00C21DC3">
        <w:t>(</w:t>
      </w:r>
      <w:r w:rsidR="00FE4784">
        <w:t>class</w:t>
      </w:r>
      <w:r w:rsidR="00721B04">
        <w:t>es</w:t>
      </w:r>
      <w:r w:rsidR="00FE4784">
        <w:t xml:space="preserve"> B</w:t>
      </w:r>
      <w:r w:rsidR="00F03A5C">
        <w:t>, F1 and F2, and ‘sui generis’</w:t>
      </w:r>
      <w:r w:rsidR="00FE4784">
        <w:t xml:space="preserve"> buildings</w:t>
      </w:r>
      <w:r w:rsidR="00C21DC3">
        <w:t>)</w:t>
      </w:r>
      <w:r w:rsidR="00FE4784">
        <w:t xml:space="preserve"> </w:t>
      </w:r>
      <w:r w:rsidR="00797BB9" w:rsidRPr="0004343D">
        <w:rPr>
          <w:b/>
          <w:bCs/>
        </w:rPr>
        <w:t xml:space="preserve">are </w:t>
      </w:r>
      <w:r w:rsidR="00797BB9" w:rsidRPr="0004343D">
        <w:rPr>
          <w:b/>
          <w:bCs/>
          <w:u w:val="single"/>
        </w:rPr>
        <w:t>not included</w:t>
      </w:r>
      <w:r w:rsidR="00797BB9">
        <w:t xml:space="preserve"> in </w:t>
      </w:r>
      <w:r w:rsidR="009A7C58">
        <w:t>those requirements.</w:t>
      </w:r>
      <w:r w:rsidR="00FE4784">
        <w:t xml:space="preserve"> </w:t>
      </w:r>
    </w:p>
    <w:bookmarkEnd w:id="0"/>
    <w:p w14:paraId="3803873D" w14:textId="78AC501E" w:rsidR="00187BFB" w:rsidRDefault="00F763B4" w:rsidP="00F30A00">
      <w:pPr>
        <w:pStyle w:val="Heading2"/>
        <w:spacing w:line="276" w:lineRule="auto"/>
      </w:pPr>
      <w:r>
        <w:t>How can government stop these dangerous homes being created?</w:t>
      </w:r>
    </w:p>
    <w:p w14:paraId="2E479EB3" w14:textId="3E461481" w:rsidR="00F763B4" w:rsidRDefault="00033140" w:rsidP="00F763B4">
      <w:r>
        <w:t>If the</w:t>
      </w:r>
      <w:r w:rsidRPr="00F763B4">
        <w:t xml:space="preserve"> </w:t>
      </w:r>
      <w:r w:rsidR="00F763B4" w:rsidRPr="00F763B4">
        <w:t xml:space="preserve">government </w:t>
      </w:r>
      <w:r w:rsidR="00E856EE">
        <w:t>wants to</w:t>
      </w:r>
      <w:r w:rsidR="00F763B4" w:rsidRPr="00F763B4">
        <w:t xml:space="preserve"> promote healthy placemaking</w:t>
      </w:r>
      <w:r w:rsidR="00E856EE">
        <w:t>,</w:t>
      </w:r>
      <w:r w:rsidR="00F763B4" w:rsidRPr="00F763B4">
        <w:t xml:space="preserve"> we strongly recommend th</w:t>
      </w:r>
      <w:r w:rsidR="00DA7424">
        <w:t>at it should</w:t>
      </w:r>
      <w:r w:rsidR="00F763B4" w:rsidRPr="00F763B4">
        <w:t xml:space="preserve"> adopt a moratorium on further PDR conversions to residential use, and review whether to </w:t>
      </w:r>
      <w:r w:rsidR="00535395" w:rsidRPr="00F763B4">
        <w:t>re</w:t>
      </w:r>
      <w:r w:rsidR="00535395">
        <w:t>vert to</w:t>
      </w:r>
      <w:r w:rsidR="00535395" w:rsidRPr="00F763B4">
        <w:t xml:space="preserve"> </w:t>
      </w:r>
      <w:r w:rsidR="00F763B4" w:rsidRPr="00F763B4">
        <w:t xml:space="preserve">PDR regulations, relating to the creation of new dwellings and flats, as they applied in 2012.  </w:t>
      </w:r>
    </w:p>
    <w:p w14:paraId="60084AB5" w14:textId="2108BB46" w:rsidR="00F763B4" w:rsidRDefault="00F763B4" w:rsidP="00F763B4">
      <w:pPr>
        <w:spacing w:after="25" w:line="259" w:lineRule="auto"/>
        <w:ind w:right="204"/>
      </w:pPr>
      <w:r>
        <w:rPr>
          <w:b/>
        </w:rPr>
        <w:t xml:space="preserve">Will this reduce the </w:t>
      </w:r>
      <w:r w:rsidR="00CF6208">
        <w:rPr>
          <w:b/>
        </w:rPr>
        <w:t>total</w:t>
      </w:r>
      <w:r>
        <w:rPr>
          <w:b/>
        </w:rPr>
        <w:t xml:space="preserve"> number of new homes being built? </w:t>
      </w:r>
    </w:p>
    <w:p w14:paraId="3926E389" w14:textId="4E15C69E" w:rsidR="00F763B4" w:rsidRDefault="00F763B4" w:rsidP="00F763B4">
      <w:pPr>
        <w:spacing w:after="331"/>
      </w:pPr>
      <w:r>
        <w:t xml:space="preserve">We </w:t>
      </w:r>
      <w:r w:rsidR="00535395">
        <w:t>acknowledge</w:t>
      </w:r>
      <w:r>
        <w:t xml:space="preserve"> the government is committed to building more homes that the country so urgently needs</w:t>
      </w:r>
      <w:r w:rsidRPr="0049140D">
        <w:t>.</w:t>
      </w:r>
      <w:r w:rsidR="52DFF3B3" w:rsidRPr="0049140D">
        <w:t xml:space="preserve"> But the </w:t>
      </w:r>
      <w:r w:rsidR="0049140D" w:rsidRPr="0049140D">
        <w:t xml:space="preserve">central </w:t>
      </w:r>
      <w:r w:rsidR="52DFF3B3" w:rsidRPr="0049140D">
        <w:t xml:space="preserve">mission must be </w:t>
      </w:r>
      <w:r w:rsidR="0049140D" w:rsidRPr="0049140D">
        <w:t xml:space="preserve">to create healthy homes </w:t>
      </w:r>
      <w:r w:rsidR="52DFF3B3" w:rsidRPr="0049140D">
        <w:t xml:space="preserve">not </w:t>
      </w:r>
      <w:r w:rsidR="0049140D" w:rsidRPr="0049140D">
        <w:t xml:space="preserve">future </w:t>
      </w:r>
      <w:r w:rsidR="52DFF3B3" w:rsidRPr="0049140D">
        <w:t>slum</w:t>
      </w:r>
      <w:r w:rsidR="0049140D" w:rsidRPr="0049140D">
        <w:t>s</w:t>
      </w:r>
      <w:r w:rsidR="52DFF3B3" w:rsidRPr="0049140D">
        <w:t xml:space="preserve">. </w:t>
      </w:r>
      <w:r w:rsidR="00A54D50" w:rsidRPr="0049140D">
        <w:t>H</w:t>
      </w:r>
      <w:r w:rsidRPr="0049140D">
        <w:t>o</w:t>
      </w:r>
      <w:r w:rsidR="0076469A" w:rsidRPr="0049140D">
        <w:t>using</w:t>
      </w:r>
      <w:r w:rsidR="0076469A">
        <w:t xml:space="preserve"> </w:t>
      </w:r>
      <w:r>
        <w:t>from PDR conversion only contribute</w:t>
      </w:r>
      <w:r w:rsidR="0076469A">
        <w:t>s</w:t>
      </w:r>
      <w:r>
        <w:t xml:space="preserve"> a </w:t>
      </w:r>
      <w:r w:rsidR="00A54D50">
        <w:t xml:space="preserve">relatively </w:t>
      </w:r>
      <w:r>
        <w:t>small fraction of the total - 6% of new homes built between 2015/16 to 2022/23</w:t>
      </w:r>
      <w:r w:rsidRPr="63E8AC41">
        <w:rPr>
          <w:sz w:val="20"/>
          <w:szCs w:val="20"/>
          <w:vertAlign w:val="superscript"/>
        </w:rPr>
        <w:footnoteReference w:id="8"/>
      </w:r>
      <w:r>
        <w:t xml:space="preserve">. </w:t>
      </w:r>
      <w:r w:rsidR="00E10C09">
        <w:t xml:space="preserve">As highlighted above, PDR conversions often house the most vulnerable in society – many who already experience poor health. Given the government’s commitments to prevent ill health and reduce health inequalities, there is a strong argument to prevent further homes being produced through this unsafe route. </w:t>
      </w:r>
      <w:r w:rsidR="00C84D74">
        <w:t>Good</w:t>
      </w:r>
      <w:r>
        <w:t xml:space="preserve"> quality conversion schemes </w:t>
      </w:r>
      <w:r w:rsidR="2D8E15CB">
        <w:t>would</w:t>
      </w:r>
      <w:r>
        <w:t xml:space="preserve"> still </w:t>
      </w:r>
      <w:r w:rsidR="007E7BDA">
        <w:t xml:space="preserve">be </w:t>
      </w:r>
      <w:r>
        <w:t xml:space="preserve">permissible through full planning permission. </w:t>
      </w:r>
      <w:r w:rsidR="000A0E06">
        <w:t>S</w:t>
      </w:r>
      <w:r>
        <w:t xml:space="preserve">ub-standard and poorly situated homes could be prevented through proper planning scrutiny by local authorities. </w:t>
      </w:r>
    </w:p>
    <w:p w14:paraId="2A9E2A16" w14:textId="77777777" w:rsidR="00187BFB" w:rsidRDefault="00187BFB" w:rsidP="00F30A00">
      <w:pPr>
        <w:pStyle w:val="Heading1"/>
        <w:spacing w:line="276" w:lineRule="auto"/>
      </w:pPr>
      <w:bookmarkStart w:id="1" w:name="_Toc124430508"/>
      <w:r w:rsidRPr="00187BFB">
        <w:t>More information</w:t>
      </w:r>
      <w:bookmarkEnd w:id="1"/>
    </w:p>
    <w:p w14:paraId="766CB2D8" w14:textId="606B26B6" w:rsidR="007325A2" w:rsidRPr="007C2F10" w:rsidRDefault="007033DD" w:rsidP="00F763B4">
      <w:pPr>
        <w:pStyle w:val="ListParagraph"/>
        <w:numPr>
          <w:ilvl w:val="0"/>
          <w:numId w:val="11"/>
        </w:numPr>
        <w:spacing w:line="276" w:lineRule="auto"/>
        <w:rPr>
          <w:rStyle w:val="Hyperlink"/>
          <w:color w:val="589199" w:themeColor="text2"/>
          <w:sz w:val="20"/>
          <w:szCs w:val="20"/>
          <w:u w:val="none"/>
        </w:rPr>
      </w:pPr>
      <w:r w:rsidRPr="0067284B">
        <w:rPr>
          <w:rStyle w:val="Hyperlink"/>
          <w:sz w:val="20"/>
          <w:szCs w:val="20"/>
          <w:u w:val="none"/>
        </w:rPr>
        <w:t xml:space="preserve">Oral question: </w:t>
      </w:r>
      <w:hyperlink r:id="rId12" w:history="1">
        <w:r w:rsidR="003D2A9E" w:rsidRPr="007C2F10">
          <w:rPr>
            <w:rStyle w:val="Hyperlink"/>
            <w:b/>
            <w:bCs/>
            <w:color w:val="589199" w:themeColor="text2"/>
            <w:sz w:val="20"/>
            <w:szCs w:val="20"/>
          </w:rPr>
          <w:t>lordsbusiness.parliament.uk/?businessPaperDate=2024-12-18</w:t>
        </w:r>
      </w:hyperlink>
    </w:p>
    <w:p w14:paraId="5B2E8058" w14:textId="6A7FFE52" w:rsidR="005C3160" w:rsidRPr="00367572" w:rsidRDefault="00F25DD6" w:rsidP="00367572">
      <w:pPr>
        <w:pStyle w:val="ListParagraph"/>
        <w:numPr>
          <w:ilvl w:val="0"/>
          <w:numId w:val="11"/>
        </w:numPr>
        <w:rPr>
          <w:sz w:val="20"/>
          <w:szCs w:val="20"/>
        </w:rPr>
      </w:pPr>
      <w:r>
        <w:rPr>
          <w:sz w:val="20"/>
          <w:szCs w:val="20"/>
        </w:rPr>
        <w:t>Further</w:t>
      </w:r>
      <w:r w:rsidR="007033DD" w:rsidRPr="0067284B">
        <w:rPr>
          <w:sz w:val="20"/>
          <w:szCs w:val="20"/>
        </w:rPr>
        <w:t xml:space="preserve"> PDR</w:t>
      </w:r>
      <w:r>
        <w:rPr>
          <w:sz w:val="20"/>
          <w:szCs w:val="20"/>
        </w:rPr>
        <w:t xml:space="preserve"> resources</w:t>
      </w:r>
      <w:r w:rsidR="007033DD" w:rsidRPr="0067284B">
        <w:rPr>
          <w:sz w:val="20"/>
          <w:szCs w:val="20"/>
        </w:rPr>
        <w:t xml:space="preserve">: </w:t>
      </w:r>
      <w:hyperlink r:id="rId13" w:history="1">
        <w:r w:rsidR="00BA5D37" w:rsidRPr="0067284B">
          <w:rPr>
            <w:rStyle w:val="Hyperlink"/>
            <w:b/>
            <w:bCs/>
            <w:color w:val="589199" w:themeColor="text2"/>
            <w:sz w:val="20"/>
            <w:szCs w:val="20"/>
          </w:rPr>
          <w:t>tcpa.org.uk/permitted-development</w:t>
        </w:r>
      </w:hyperlink>
      <w:r w:rsidR="00BA5D37" w:rsidRPr="0067284B">
        <w:rPr>
          <w:sz w:val="20"/>
          <w:szCs w:val="20"/>
        </w:rPr>
        <w:t xml:space="preserve"> </w:t>
      </w:r>
      <w:r w:rsidR="008209A0" w:rsidRPr="0067284B">
        <w:rPr>
          <w:sz w:val="20"/>
          <w:szCs w:val="20"/>
        </w:rPr>
        <w:t xml:space="preserve"> </w:t>
      </w:r>
    </w:p>
    <w:p w14:paraId="4CE22EB3" w14:textId="2427E68B" w:rsidR="00187BFB" w:rsidRDefault="00FE2072" w:rsidP="00B71E69">
      <w:pPr>
        <w:spacing w:after="120" w:line="240" w:lineRule="auto"/>
      </w:pPr>
      <w:r>
        <w:t>C</w:t>
      </w:r>
      <w:r w:rsidR="00BE257B">
        <w:t>ontact</w:t>
      </w:r>
      <w:r>
        <w:t>s</w:t>
      </w:r>
      <w:r w:rsidR="00BE257B">
        <w:t>:</w:t>
      </w:r>
    </w:p>
    <w:p w14:paraId="052AB6C5" w14:textId="45B2D1E5" w:rsidR="00F46D2C" w:rsidRPr="00AF4737" w:rsidRDefault="00F46D2C" w:rsidP="00B71E69">
      <w:pPr>
        <w:pStyle w:val="ListParagraph"/>
        <w:numPr>
          <w:ilvl w:val="0"/>
          <w:numId w:val="11"/>
        </w:numPr>
        <w:spacing w:after="0" w:line="240" w:lineRule="auto"/>
        <w:ind w:left="714" w:hanging="357"/>
        <w:rPr>
          <w:rStyle w:val="Hyperlink"/>
          <w:color w:val="5E8BA2" w:themeColor="accent6" w:themeShade="BF"/>
          <w:u w:val="none"/>
        </w:rPr>
      </w:pPr>
      <w:r>
        <w:t>Rosalie Callway</w:t>
      </w:r>
      <w:r w:rsidR="0077616A">
        <w:t xml:space="preserve">, </w:t>
      </w:r>
      <w:r w:rsidR="008A052F">
        <w:t>Policy and project manager</w:t>
      </w:r>
      <w:r w:rsidR="0044246D">
        <w:t xml:space="preserve"> at the TCPA</w:t>
      </w:r>
      <w:r w:rsidR="008A052F">
        <w:t xml:space="preserve">, </w:t>
      </w:r>
      <w:r w:rsidR="008A052F" w:rsidRPr="001D078C">
        <w:rPr>
          <w:b/>
          <w:bCs/>
          <w:color w:val="589199" w:themeColor="text2"/>
        </w:rPr>
        <w:t>Rosalie.Callway@tcpa.org.uk</w:t>
      </w:r>
    </w:p>
    <w:sectPr w:rsidR="00F46D2C" w:rsidRPr="00AF4737" w:rsidSect="004558CE">
      <w:headerReference w:type="default" r:id="rId14"/>
      <w:headerReference w:type="first" r:id="rId15"/>
      <w:endnotePr>
        <w:numFmt w:val="decimal"/>
      </w:endnotePr>
      <w:pgSz w:w="11906" w:h="16838" w:code="9"/>
      <w:pgMar w:top="1702" w:right="851" w:bottom="568" w:left="1276" w:header="284" w:footer="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7B2BC" w14:textId="77777777" w:rsidR="002A451A" w:rsidRDefault="002A451A" w:rsidP="00BE56C4">
      <w:pPr>
        <w:spacing w:after="0" w:line="240" w:lineRule="auto"/>
      </w:pPr>
      <w:r>
        <w:separator/>
      </w:r>
    </w:p>
  </w:endnote>
  <w:endnote w:type="continuationSeparator" w:id="0">
    <w:p w14:paraId="25880CBF" w14:textId="77777777" w:rsidR="002A451A" w:rsidRDefault="002A451A" w:rsidP="00BE56C4">
      <w:pPr>
        <w:spacing w:after="0" w:line="240" w:lineRule="auto"/>
      </w:pPr>
      <w:r>
        <w:continuationSeparator/>
      </w:r>
    </w:p>
  </w:endnote>
  <w:endnote w:type="continuationNotice" w:id="1">
    <w:p w14:paraId="7CD58EBB" w14:textId="77777777" w:rsidR="002A451A" w:rsidRDefault="002A4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5FDCB" w14:textId="77777777" w:rsidR="002A451A" w:rsidRDefault="002A451A" w:rsidP="005A79F0">
      <w:pPr>
        <w:spacing w:after="60" w:line="240" w:lineRule="auto"/>
      </w:pPr>
      <w:r>
        <w:separator/>
      </w:r>
      <w:r>
        <w:separator/>
      </w:r>
      <w:r>
        <w:separator/>
      </w:r>
      <w:r>
        <w:separator/>
      </w:r>
    </w:p>
  </w:footnote>
  <w:footnote w:type="continuationSeparator" w:id="0">
    <w:p w14:paraId="7D0416CC" w14:textId="77777777" w:rsidR="002A451A" w:rsidRDefault="002A451A" w:rsidP="005A79F0">
      <w:pPr>
        <w:spacing w:after="60" w:line="240" w:lineRule="auto"/>
      </w:pPr>
      <w:r>
        <w:separator/>
      </w:r>
      <w:r>
        <w:separator/>
      </w:r>
      <w:r>
        <w:separator/>
      </w:r>
      <w:r>
        <w:separator/>
      </w:r>
    </w:p>
  </w:footnote>
  <w:footnote w:type="continuationNotice" w:id="1">
    <w:p w14:paraId="065FD228" w14:textId="77777777" w:rsidR="002A451A" w:rsidRDefault="002A451A">
      <w:pPr>
        <w:spacing w:after="0" w:line="240" w:lineRule="auto"/>
      </w:pPr>
    </w:p>
  </w:footnote>
  <w:footnote w:id="2">
    <w:p w14:paraId="711999BC" w14:textId="25D2F3E6" w:rsidR="00331F91" w:rsidRPr="00791502" w:rsidRDefault="00331F91" w:rsidP="00C43180">
      <w:pPr>
        <w:pStyle w:val="footnotedescription"/>
        <w:spacing w:after="32"/>
        <w:ind w:left="0"/>
        <w:rPr>
          <w:rFonts w:asciiTheme="minorHAnsi" w:hAnsiTheme="minorHAnsi"/>
        </w:rPr>
      </w:pPr>
      <w:r w:rsidRPr="00791502">
        <w:rPr>
          <w:rStyle w:val="FootnoteReference"/>
          <w:rFonts w:asciiTheme="minorHAnsi" w:hAnsiTheme="minorHAnsi"/>
          <w:u w:val="none"/>
        </w:rPr>
        <w:footnoteRef/>
      </w:r>
      <w:r w:rsidRPr="00791502">
        <w:rPr>
          <w:rFonts w:asciiTheme="minorHAnsi" w:hAnsiTheme="minorHAnsi"/>
          <w:u w:val="none"/>
        </w:rPr>
        <w:t xml:space="preserve">  </w:t>
      </w:r>
      <w:r w:rsidR="00FA240D" w:rsidRPr="00791502">
        <w:rPr>
          <w:rFonts w:asciiTheme="minorHAnsi" w:hAnsiTheme="minorHAnsi"/>
          <w:u w:val="none"/>
        </w:rPr>
        <w:t>TCPA (2024) Permitted Development Housing and Health – a review of national policy and regulations</w:t>
      </w:r>
      <w:r w:rsidR="00FA240D" w:rsidRPr="00791502">
        <w:rPr>
          <w:rFonts w:asciiTheme="minorHAnsi" w:hAnsiTheme="minorHAnsi"/>
        </w:rPr>
        <w:t xml:space="preserve"> </w:t>
      </w:r>
      <w:hyperlink r:id="rId1">
        <w:r w:rsidR="00FA240D" w:rsidRPr="00791502">
          <w:rPr>
            <w:rFonts w:asciiTheme="minorHAnsi" w:hAnsiTheme="minorHAnsi"/>
          </w:rPr>
          <w:t>www.tcpa.org.uk/resources/permitted</w:t>
        </w:r>
      </w:hyperlink>
      <w:hyperlink r:id="rId2">
        <w:r w:rsidR="00FA240D" w:rsidRPr="00791502">
          <w:rPr>
            <w:rFonts w:asciiTheme="minorHAnsi" w:hAnsiTheme="minorHAnsi"/>
          </w:rPr>
          <w:t>-</w:t>
        </w:r>
      </w:hyperlink>
      <w:hyperlink r:id="rId3">
        <w:r w:rsidR="00FA240D" w:rsidRPr="00791502">
          <w:rPr>
            <w:rFonts w:asciiTheme="minorHAnsi" w:hAnsiTheme="minorHAnsi"/>
          </w:rPr>
          <w:t>development</w:t>
        </w:r>
      </w:hyperlink>
      <w:hyperlink r:id="rId4">
        <w:r w:rsidR="00FA240D" w:rsidRPr="00791502">
          <w:rPr>
            <w:rFonts w:asciiTheme="minorHAnsi" w:hAnsiTheme="minorHAnsi"/>
          </w:rPr>
          <w:t>-</w:t>
        </w:r>
      </w:hyperlink>
      <w:hyperlink r:id="rId5">
        <w:r w:rsidR="00FA240D" w:rsidRPr="00791502">
          <w:rPr>
            <w:rFonts w:asciiTheme="minorHAnsi" w:hAnsiTheme="minorHAnsi"/>
          </w:rPr>
          <w:t>housing</w:t>
        </w:r>
      </w:hyperlink>
      <w:hyperlink r:id="rId6">
        <w:r w:rsidR="00FA240D" w:rsidRPr="00791502">
          <w:rPr>
            <w:rFonts w:asciiTheme="minorHAnsi" w:hAnsiTheme="minorHAnsi"/>
          </w:rPr>
          <w:t>-</w:t>
        </w:r>
      </w:hyperlink>
      <w:hyperlink r:id="rId7">
        <w:r w:rsidR="00FA240D" w:rsidRPr="00791502">
          <w:rPr>
            <w:rFonts w:asciiTheme="minorHAnsi" w:hAnsiTheme="minorHAnsi"/>
          </w:rPr>
          <w:t>and</w:t>
        </w:r>
      </w:hyperlink>
      <w:hyperlink r:id="rId8">
        <w:r w:rsidR="00FA240D" w:rsidRPr="00791502">
          <w:rPr>
            <w:rFonts w:asciiTheme="minorHAnsi" w:hAnsiTheme="minorHAnsi"/>
          </w:rPr>
          <w:t>-</w:t>
        </w:r>
      </w:hyperlink>
      <w:hyperlink r:id="rId9">
        <w:r w:rsidR="00FA240D" w:rsidRPr="00791502">
          <w:rPr>
            <w:rFonts w:asciiTheme="minorHAnsi" w:hAnsiTheme="minorHAnsi"/>
          </w:rPr>
          <w:t>health</w:t>
        </w:r>
      </w:hyperlink>
      <w:hyperlink r:id="rId10">
        <w:r w:rsidR="00FA240D" w:rsidRPr="00791502">
          <w:rPr>
            <w:rFonts w:asciiTheme="minorHAnsi" w:hAnsiTheme="minorHAnsi"/>
          </w:rPr>
          <w:t>-</w:t>
        </w:r>
      </w:hyperlink>
      <w:hyperlink r:id="rId11">
        <w:r w:rsidR="00FA240D" w:rsidRPr="00791502">
          <w:rPr>
            <w:rFonts w:asciiTheme="minorHAnsi" w:hAnsiTheme="minorHAnsi"/>
          </w:rPr>
          <w:t>a</w:t>
        </w:r>
      </w:hyperlink>
      <w:hyperlink r:id="rId12">
        <w:r w:rsidR="00FA240D" w:rsidRPr="00791502">
          <w:rPr>
            <w:rFonts w:asciiTheme="minorHAnsi" w:hAnsiTheme="minorHAnsi"/>
          </w:rPr>
          <w:t>-</w:t>
        </w:r>
      </w:hyperlink>
      <w:hyperlink r:id="rId13">
        <w:r w:rsidR="00FA240D" w:rsidRPr="00791502">
          <w:rPr>
            <w:rFonts w:asciiTheme="minorHAnsi" w:hAnsiTheme="minorHAnsi"/>
          </w:rPr>
          <w:t>review</w:t>
        </w:r>
      </w:hyperlink>
      <w:hyperlink r:id="rId14">
        <w:r w:rsidR="00FA240D" w:rsidRPr="00791502">
          <w:rPr>
            <w:rFonts w:asciiTheme="minorHAnsi" w:hAnsiTheme="minorHAnsi"/>
          </w:rPr>
          <w:t>-</w:t>
        </w:r>
      </w:hyperlink>
      <w:hyperlink r:id="rId15">
        <w:r w:rsidR="00FA240D" w:rsidRPr="00791502">
          <w:rPr>
            <w:rFonts w:asciiTheme="minorHAnsi" w:hAnsiTheme="minorHAnsi"/>
          </w:rPr>
          <w:t>of</w:t>
        </w:r>
      </w:hyperlink>
      <w:hyperlink r:id="rId16">
        <w:r w:rsidR="00FA240D" w:rsidRPr="00791502">
          <w:rPr>
            <w:rFonts w:asciiTheme="minorHAnsi" w:hAnsiTheme="minorHAnsi"/>
          </w:rPr>
          <w:t>-</w:t>
        </w:r>
      </w:hyperlink>
      <w:hyperlink r:id="rId17">
        <w:r w:rsidR="00FA240D" w:rsidRPr="00791502">
          <w:rPr>
            <w:rFonts w:asciiTheme="minorHAnsi" w:hAnsiTheme="minorHAnsi"/>
          </w:rPr>
          <w:t>national</w:t>
        </w:r>
      </w:hyperlink>
      <w:hyperlink r:id="rId18">
        <w:r w:rsidR="00FA240D" w:rsidRPr="00791502">
          <w:rPr>
            <w:rFonts w:asciiTheme="minorHAnsi" w:hAnsiTheme="minorHAnsi"/>
          </w:rPr>
          <w:t>-</w:t>
        </w:r>
      </w:hyperlink>
      <w:hyperlink r:id="rId19">
        <w:r w:rsidR="00FA240D" w:rsidRPr="00791502">
          <w:rPr>
            <w:rFonts w:asciiTheme="minorHAnsi" w:hAnsiTheme="minorHAnsi"/>
          </w:rPr>
          <w:t>policy</w:t>
        </w:r>
      </w:hyperlink>
      <w:hyperlink r:id="rId20">
        <w:r w:rsidR="00FA240D" w:rsidRPr="00791502">
          <w:rPr>
            <w:rFonts w:asciiTheme="minorHAnsi" w:hAnsiTheme="minorHAnsi"/>
          </w:rPr>
          <w:t>-</w:t>
        </w:r>
      </w:hyperlink>
      <w:hyperlink r:id="rId21">
        <w:r w:rsidR="00FA240D" w:rsidRPr="00791502">
          <w:rPr>
            <w:rFonts w:asciiTheme="minorHAnsi" w:hAnsiTheme="minorHAnsi"/>
          </w:rPr>
          <w:t>and</w:t>
        </w:r>
      </w:hyperlink>
      <w:hyperlink r:id="rId22">
        <w:r w:rsidR="00FA240D" w:rsidRPr="00791502">
          <w:rPr>
            <w:rFonts w:asciiTheme="minorHAnsi" w:hAnsiTheme="minorHAnsi"/>
          </w:rPr>
          <w:t>-</w:t>
        </w:r>
      </w:hyperlink>
      <w:hyperlink r:id="rId23">
        <w:r w:rsidR="00FA240D" w:rsidRPr="00791502">
          <w:rPr>
            <w:rFonts w:asciiTheme="minorHAnsi" w:hAnsiTheme="minorHAnsi"/>
          </w:rPr>
          <w:t>regulations</w:t>
        </w:r>
      </w:hyperlink>
      <w:hyperlink r:id="rId24">
        <w:r w:rsidR="00FA240D" w:rsidRPr="00791502">
          <w:rPr>
            <w:rFonts w:asciiTheme="minorHAnsi" w:hAnsiTheme="minorHAnsi"/>
          </w:rPr>
          <w:t xml:space="preserve"> </w:t>
        </w:r>
      </w:hyperlink>
      <w:r w:rsidR="00FA240D" w:rsidRPr="00791502">
        <w:rPr>
          <w:rFonts w:asciiTheme="minorHAnsi" w:hAnsiTheme="minorHAnsi"/>
        </w:rPr>
        <w:t xml:space="preserve"> </w:t>
      </w:r>
    </w:p>
  </w:footnote>
  <w:footnote w:id="3">
    <w:p w14:paraId="3AED8E0D" w14:textId="77777777" w:rsidR="00F97493" w:rsidRPr="00791502" w:rsidRDefault="00F97493" w:rsidP="00F97493">
      <w:pPr>
        <w:pStyle w:val="footnotedescription"/>
        <w:spacing w:after="32"/>
        <w:ind w:left="0"/>
        <w:rPr>
          <w:rFonts w:asciiTheme="minorHAnsi" w:hAnsiTheme="minorHAnsi"/>
          <w:szCs w:val="16"/>
        </w:rPr>
      </w:pPr>
      <w:r w:rsidRPr="0067284B">
        <w:rPr>
          <w:rStyle w:val="FootnoteReference"/>
          <w:rFonts w:asciiTheme="minorHAnsi" w:hAnsiTheme="minorHAnsi"/>
          <w:u w:val="none"/>
        </w:rPr>
        <w:footnoteRef/>
      </w:r>
      <w:r w:rsidRPr="0067284B">
        <w:rPr>
          <w:rFonts w:asciiTheme="minorHAnsi" w:hAnsiTheme="minorHAnsi"/>
          <w:u w:val="none"/>
        </w:rPr>
        <w:t xml:space="preserve"> </w:t>
      </w:r>
      <w:r w:rsidRPr="0067284B">
        <w:rPr>
          <w:rFonts w:asciiTheme="minorHAnsi" w:hAnsiTheme="minorHAnsi"/>
          <w:color w:val="262626"/>
          <w:szCs w:val="16"/>
          <w:u w:val="none"/>
        </w:rPr>
        <w:t>M</w:t>
      </w:r>
      <w:r w:rsidRPr="00791502">
        <w:rPr>
          <w:rFonts w:asciiTheme="minorHAnsi" w:hAnsiTheme="minorHAnsi"/>
          <w:color w:val="262626"/>
          <w:szCs w:val="16"/>
          <w:u w:val="none"/>
        </w:rPr>
        <w:t xml:space="preserve">HCLG (2020) Research into the quality standard of homes delivered through change of use permitted development rights </w:t>
      </w:r>
    </w:p>
    <w:p w14:paraId="7B2AA02D" w14:textId="711B72F5" w:rsidR="00F97493" w:rsidRPr="00E053E2" w:rsidRDefault="00F97493" w:rsidP="00F97493">
      <w:pPr>
        <w:pStyle w:val="FootnoteText"/>
        <w:tabs>
          <w:tab w:val="clear" w:pos="454"/>
          <w:tab w:val="left" w:pos="0"/>
        </w:tabs>
        <w:ind w:left="0" w:firstLine="0"/>
        <w:rPr>
          <w:u w:val="single"/>
        </w:rPr>
      </w:pPr>
      <w:hyperlink r:id="rId25">
        <w:r w:rsidRPr="00E053E2">
          <w:rPr>
            <w:rFonts w:asciiTheme="minorHAnsi" w:hAnsiTheme="minorHAnsi"/>
            <w:sz w:val="16"/>
            <w:szCs w:val="16"/>
            <w:u w:val="single"/>
          </w:rPr>
          <w:t xml:space="preserve">https://assets.publishing.service.gov.uk/government/uploads/system/uploads/attachment_data/file/902220/Research_report_quality_PDR_ho </w:t>
        </w:r>
      </w:hyperlink>
      <w:hyperlink r:id="rId26">
        <w:r w:rsidRPr="00E053E2">
          <w:rPr>
            <w:rFonts w:asciiTheme="minorHAnsi" w:hAnsiTheme="minorHAnsi"/>
            <w:sz w:val="16"/>
            <w:szCs w:val="16"/>
            <w:u w:val="single"/>
          </w:rPr>
          <w:t>mes.pdf</w:t>
        </w:r>
      </w:hyperlink>
      <w:r w:rsidR="0067284B" w:rsidRPr="00E053E2">
        <w:rPr>
          <w:rFonts w:asciiTheme="minorHAnsi" w:hAnsiTheme="minorHAnsi"/>
          <w:sz w:val="16"/>
          <w:szCs w:val="16"/>
          <w:u w:val="single"/>
        </w:rPr>
        <w:t xml:space="preserve"> </w:t>
      </w:r>
    </w:p>
  </w:footnote>
  <w:footnote w:id="4">
    <w:p w14:paraId="47045870" w14:textId="77777777" w:rsidR="005609F0" w:rsidRPr="00210640" w:rsidRDefault="005609F0" w:rsidP="005609F0">
      <w:pPr>
        <w:pStyle w:val="FootnoteText"/>
        <w:rPr>
          <w:rFonts w:asciiTheme="minorHAnsi" w:hAnsiTheme="minorHAnsi"/>
          <w:sz w:val="16"/>
          <w:szCs w:val="16"/>
        </w:rPr>
      </w:pPr>
      <w:r>
        <w:rPr>
          <w:rStyle w:val="FootnoteReference"/>
        </w:rPr>
        <w:footnoteRef/>
      </w:r>
      <w:r>
        <w:t xml:space="preserve"> </w:t>
      </w:r>
      <w:r w:rsidRPr="00210640">
        <w:rPr>
          <w:rFonts w:asciiTheme="minorHAnsi" w:hAnsiTheme="minorHAnsi"/>
          <w:color w:val="262626"/>
          <w:sz w:val="16"/>
          <w:szCs w:val="16"/>
        </w:rPr>
        <w:t xml:space="preserve">TCPA (2023) ‘These are homes’ photobook. </w:t>
      </w:r>
      <w:hyperlink r:id="rId27">
        <w:r w:rsidRPr="00E053E2">
          <w:rPr>
            <w:rFonts w:asciiTheme="minorHAnsi" w:hAnsiTheme="minorHAnsi"/>
            <w:sz w:val="16"/>
            <w:szCs w:val="16"/>
            <w:u w:val="single"/>
          </w:rPr>
          <w:t>www.tcpa.org.uk/these</w:t>
        </w:r>
      </w:hyperlink>
      <w:hyperlink r:id="rId28">
        <w:r w:rsidRPr="00E053E2">
          <w:rPr>
            <w:rFonts w:asciiTheme="minorHAnsi" w:hAnsiTheme="minorHAnsi"/>
            <w:sz w:val="16"/>
            <w:szCs w:val="16"/>
            <w:u w:val="single"/>
          </w:rPr>
          <w:t>-</w:t>
        </w:r>
      </w:hyperlink>
      <w:hyperlink r:id="rId29">
        <w:r w:rsidRPr="00E053E2">
          <w:rPr>
            <w:rFonts w:asciiTheme="minorHAnsi" w:hAnsiTheme="minorHAnsi"/>
            <w:sz w:val="16"/>
            <w:szCs w:val="16"/>
            <w:u w:val="single"/>
          </w:rPr>
          <w:t>are</w:t>
        </w:r>
      </w:hyperlink>
      <w:hyperlink r:id="rId30">
        <w:r w:rsidRPr="00E053E2">
          <w:rPr>
            <w:rFonts w:asciiTheme="minorHAnsi" w:hAnsiTheme="minorHAnsi"/>
            <w:sz w:val="16"/>
            <w:szCs w:val="16"/>
            <w:u w:val="single"/>
          </w:rPr>
          <w:t>-</w:t>
        </w:r>
      </w:hyperlink>
      <w:hyperlink r:id="rId31">
        <w:r w:rsidRPr="00E053E2">
          <w:rPr>
            <w:rFonts w:asciiTheme="minorHAnsi" w:hAnsiTheme="minorHAnsi"/>
            <w:sz w:val="16"/>
            <w:szCs w:val="16"/>
            <w:u w:val="single"/>
          </w:rPr>
          <w:t>homes</w:t>
        </w:r>
      </w:hyperlink>
      <w:hyperlink r:id="rId32">
        <w:r w:rsidRPr="00E053E2">
          <w:rPr>
            <w:rFonts w:asciiTheme="minorHAnsi" w:hAnsiTheme="minorHAnsi"/>
            <w:sz w:val="16"/>
            <w:szCs w:val="16"/>
            <w:u w:val="single"/>
          </w:rPr>
          <w:t>-</w:t>
        </w:r>
      </w:hyperlink>
      <w:hyperlink r:id="rId33">
        <w:r w:rsidRPr="00E053E2">
          <w:rPr>
            <w:rFonts w:asciiTheme="minorHAnsi" w:hAnsiTheme="minorHAnsi"/>
            <w:sz w:val="16"/>
            <w:szCs w:val="16"/>
            <w:u w:val="single"/>
          </w:rPr>
          <w:t>photobook</w:t>
        </w:r>
      </w:hyperlink>
      <w:r>
        <w:rPr>
          <w:rFonts w:asciiTheme="minorHAnsi" w:hAnsiTheme="minorHAnsi"/>
          <w:sz w:val="16"/>
          <w:szCs w:val="16"/>
        </w:rPr>
        <w:t xml:space="preserve"> </w:t>
      </w:r>
      <w:hyperlink r:id="rId34">
        <w:r w:rsidRPr="00210640">
          <w:rPr>
            <w:rFonts w:asciiTheme="minorHAnsi" w:hAnsiTheme="minorHAnsi"/>
            <w:color w:val="262626"/>
            <w:sz w:val="16"/>
            <w:szCs w:val="16"/>
          </w:rPr>
          <w:t xml:space="preserve"> </w:t>
        </w:r>
      </w:hyperlink>
    </w:p>
  </w:footnote>
  <w:footnote w:id="5">
    <w:p w14:paraId="0CC1AC96" w14:textId="77777777" w:rsidR="005609F0" w:rsidRPr="0067284B" w:rsidRDefault="005609F0" w:rsidP="005609F0">
      <w:pPr>
        <w:pStyle w:val="footnotedescription"/>
        <w:spacing w:after="14"/>
        <w:ind w:left="0"/>
        <w:rPr>
          <w:rFonts w:asciiTheme="minorHAnsi" w:hAnsiTheme="minorHAnsi"/>
          <w:szCs w:val="16"/>
        </w:rPr>
      </w:pPr>
      <w:r w:rsidRPr="00250EA5">
        <w:rPr>
          <w:rStyle w:val="FootnoteReference"/>
          <w:rFonts w:asciiTheme="minorHAnsi" w:hAnsiTheme="minorHAnsi"/>
          <w:szCs w:val="16"/>
          <w:u w:val="none"/>
        </w:rPr>
        <w:footnoteRef/>
      </w:r>
      <w:r w:rsidRPr="00250EA5">
        <w:rPr>
          <w:rFonts w:asciiTheme="minorHAnsi" w:hAnsiTheme="minorHAnsi"/>
          <w:szCs w:val="16"/>
          <w:u w:val="none"/>
        </w:rPr>
        <w:t xml:space="preserve"> </w:t>
      </w:r>
      <w:hyperlink r:id="rId35">
        <w:r w:rsidRPr="0067284B">
          <w:rPr>
            <w:rFonts w:asciiTheme="minorHAnsi" w:hAnsiTheme="minorHAnsi"/>
            <w:szCs w:val="16"/>
          </w:rPr>
          <w:t>https://insidecroydon.com/2019/08/23/residents</w:t>
        </w:r>
      </w:hyperlink>
      <w:hyperlink r:id="rId36">
        <w:r w:rsidRPr="0067284B">
          <w:rPr>
            <w:rFonts w:asciiTheme="minorHAnsi" w:hAnsiTheme="minorHAnsi"/>
            <w:szCs w:val="16"/>
          </w:rPr>
          <w:t>-</w:t>
        </w:r>
      </w:hyperlink>
      <w:hyperlink r:id="rId37">
        <w:r w:rsidRPr="0067284B">
          <w:rPr>
            <w:rFonts w:asciiTheme="minorHAnsi" w:hAnsiTheme="minorHAnsi"/>
            <w:szCs w:val="16"/>
          </w:rPr>
          <w:t>living</w:t>
        </w:r>
      </w:hyperlink>
      <w:hyperlink r:id="rId38">
        <w:r w:rsidRPr="0067284B">
          <w:rPr>
            <w:rFonts w:asciiTheme="minorHAnsi" w:hAnsiTheme="minorHAnsi"/>
            <w:szCs w:val="16"/>
          </w:rPr>
          <w:t>-</w:t>
        </w:r>
      </w:hyperlink>
      <w:hyperlink r:id="rId39">
        <w:r w:rsidRPr="0067284B">
          <w:rPr>
            <w:rFonts w:asciiTheme="minorHAnsi" w:hAnsiTheme="minorHAnsi"/>
            <w:szCs w:val="16"/>
          </w:rPr>
          <w:t>in</w:t>
        </w:r>
      </w:hyperlink>
      <w:hyperlink r:id="rId40">
        <w:r w:rsidRPr="0067284B">
          <w:rPr>
            <w:rFonts w:asciiTheme="minorHAnsi" w:hAnsiTheme="minorHAnsi"/>
            <w:szCs w:val="16"/>
          </w:rPr>
          <w:t>-</w:t>
        </w:r>
      </w:hyperlink>
      <w:hyperlink r:id="rId41">
        <w:r w:rsidRPr="0067284B">
          <w:rPr>
            <w:rFonts w:asciiTheme="minorHAnsi" w:hAnsiTheme="minorHAnsi"/>
            <w:szCs w:val="16"/>
          </w:rPr>
          <w:t>fear</w:t>
        </w:r>
      </w:hyperlink>
      <w:hyperlink r:id="rId42">
        <w:r w:rsidRPr="0067284B">
          <w:rPr>
            <w:rFonts w:asciiTheme="minorHAnsi" w:hAnsiTheme="minorHAnsi"/>
            <w:szCs w:val="16"/>
          </w:rPr>
          <w:t>-</w:t>
        </w:r>
      </w:hyperlink>
      <w:hyperlink r:id="rId43">
        <w:r w:rsidRPr="0067284B">
          <w:rPr>
            <w:rFonts w:asciiTheme="minorHAnsi" w:hAnsiTheme="minorHAnsi"/>
            <w:szCs w:val="16"/>
          </w:rPr>
          <w:t>of</w:t>
        </w:r>
      </w:hyperlink>
      <w:hyperlink r:id="rId44">
        <w:r w:rsidRPr="0067284B">
          <w:rPr>
            <w:rFonts w:asciiTheme="minorHAnsi" w:hAnsiTheme="minorHAnsi"/>
            <w:szCs w:val="16"/>
          </w:rPr>
          <w:t>-</w:t>
        </w:r>
      </w:hyperlink>
      <w:hyperlink r:id="rId45">
        <w:r w:rsidRPr="0067284B">
          <w:rPr>
            <w:rFonts w:asciiTheme="minorHAnsi" w:hAnsiTheme="minorHAnsi"/>
            <w:szCs w:val="16"/>
          </w:rPr>
          <w:t>fire</w:t>
        </w:r>
      </w:hyperlink>
      <w:hyperlink r:id="rId46">
        <w:r w:rsidRPr="0067284B">
          <w:rPr>
            <w:rFonts w:asciiTheme="minorHAnsi" w:hAnsiTheme="minorHAnsi"/>
            <w:szCs w:val="16"/>
          </w:rPr>
          <w:t>-</w:t>
        </w:r>
      </w:hyperlink>
      <w:hyperlink r:id="rId47">
        <w:r w:rsidRPr="0067284B">
          <w:rPr>
            <w:rFonts w:asciiTheme="minorHAnsi" w:hAnsiTheme="minorHAnsi"/>
            <w:szCs w:val="16"/>
          </w:rPr>
          <w:t>in</w:t>
        </w:r>
      </w:hyperlink>
      <w:hyperlink r:id="rId48">
        <w:r w:rsidRPr="0067284B">
          <w:rPr>
            <w:rFonts w:asciiTheme="minorHAnsi" w:hAnsiTheme="minorHAnsi"/>
            <w:szCs w:val="16"/>
          </w:rPr>
          <w:t>-</w:t>
        </w:r>
      </w:hyperlink>
      <w:hyperlink r:id="rId49">
        <w:r w:rsidRPr="0067284B">
          <w:rPr>
            <w:rFonts w:asciiTheme="minorHAnsi" w:hAnsiTheme="minorHAnsi"/>
            <w:szCs w:val="16"/>
          </w:rPr>
          <w:t>three</w:t>
        </w:r>
      </w:hyperlink>
      <w:hyperlink r:id="rId50">
        <w:r w:rsidRPr="0067284B">
          <w:rPr>
            <w:rFonts w:asciiTheme="minorHAnsi" w:hAnsiTheme="minorHAnsi"/>
            <w:szCs w:val="16"/>
          </w:rPr>
          <w:t>-</w:t>
        </w:r>
      </w:hyperlink>
      <w:hyperlink r:id="rId51">
        <w:r w:rsidRPr="0067284B">
          <w:rPr>
            <w:rFonts w:asciiTheme="minorHAnsi" w:hAnsiTheme="minorHAnsi"/>
            <w:szCs w:val="16"/>
          </w:rPr>
          <w:t>council</w:t>
        </w:r>
      </w:hyperlink>
      <w:hyperlink r:id="rId52">
        <w:r w:rsidRPr="0067284B">
          <w:rPr>
            <w:rFonts w:asciiTheme="minorHAnsi" w:hAnsiTheme="minorHAnsi"/>
            <w:szCs w:val="16"/>
          </w:rPr>
          <w:t>-</w:t>
        </w:r>
      </w:hyperlink>
      <w:hyperlink r:id="rId53">
        <w:r w:rsidRPr="0067284B">
          <w:rPr>
            <w:rFonts w:asciiTheme="minorHAnsi" w:hAnsiTheme="minorHAnsi"/>
            <w:szCs w:val="16"/>
          </w:rPr>
          <w:t>run</w:t>
        </w:r>
      </w:hyperlink>
      <w:hyperlink r:id="rId54">
        <w:r w:rsidRPr="0067284B">
          <w:rPr>
            <w:rFonts w:asciiTheme="minorHAnsi" w:hAnsiTheme="minorHAnsi"/>
            <w:szCs w:val="16"/>
          </w:rPr>
          <w:t>-</w:t>
        </w:r>
      </w:hyperlink>
      <w:hyperlink r:id="rId55">
        <w:r w:rsidRPr="0067284B">
          <w:rPr>
            <w:rFonts w:asciiTheme="minorHAnsi" w:hAnsiTheme="minorHAnsi"/>
            <w:szCs w:val="16"/>
          </w:rPr>
          <w:t>housing</w:t>
        </w:r>
      </w:hyperlink>
      <w:hyperlink r:id="rId56">
        <w:r w:rsidRPr="0067284B">
          <w:rPr>
            <w:rFonts w:asciiTheme="minorHAnsi" w:hAnsiTheme="minorHAnsi"/>
            <w:szCs w:val="16"/>
          </w:rPr>
          <w:t>-</w:t>
        </w:r>
      </w:hyperlink>
      <w:hyperlink r:id="rId57">
        <w:r w:rsidRPr="0067284B">
          <w:rPr>
            <w:rFonts w:asciiTheme="minorHAnsi" w:hAnsiTheme="minorHAnsi"/>
            <w:szCs w:val="16"/>
          </w:rPr>
          <w:t>blocks/</w:t>
        </w:r>
      </w:hyperlink>
      <w:hyperlink r:id="rId58">
        <w:r w:rsidRPr="0067284B">
          <w:rPr>
            <w:rFonts w:asciiTheme="minorHAnsi" w:hAnsiTheme="minorHAnsi"/>
            <w:color w:val="262626"/>
            <w:szCs w:val="16"/>
            <w:u w:val="none"/>
          </w:rPr>
          <w:t xml:space="preserve"> </w:t>
        </w:r>
      </w:hyperlink>
      <w:r w:rsidRPr="0067284B">
        <w:rPr>
          <w:rFonts w:asciiTheme="minorHAnsi" w:hAnsiTheme="minorHAnsi"/>
          <w:color w:val="262626"/>
          <w:szCs w:val="16"/>
          <w:u w:val="none"/>
        </w:rPr>
        <w:t xml:space="preserve"> </w:t>
      </w:r>
    </w:p>
  </w:footnote>
  <w:footnote w:id="6">
    <w:p w14:paraId="7FD9F6B7" w14:textId="150847C0" w:rsidR="009D30BD" w:rsidRPr="00E00C07" w:rsidRDefault="009D30BD" w:rsidP="009D30BD">
      <w:pPr>
        <w:pStyle w:val="footnotedescription"/>
        <w:spacing w:after="8" w:line="296" w:lineRule="auto"/>
        <w:ind w:left="0" w:right="391"/>
        <w:rPr>
          <w:rFonts w:asciiTheme="minorHAnsi" w:hAnsiTheme="minorHAnsi"/>
          <w:szCs w:val="16"/>
        </w:rPr>
      </w:pPr>
      <w:r w:rsidRPr="00E00C07">
        <w:rPr>
          <w:rStyle w:val="FootnoteReference"/>
          <w:rFonts w:asciiTheme="minorHAnsi" w:hAnsiTheme="minorHAnsi"/>
          <w:szCs w:val="16"/>
        </w:rPr>
        <w:footnoteRef/>
      </w:r>
      <w:r w:rsidRPr="00E00C07">
        <w:rPr>
          <w:rFonts w:asciiTheme="minorHAnsi" w:hAnsiTheme="minorHAnsi"/>
          <w:szCs w:val="16"/>
        </w:rPr>
        <w:t xml:space="preserve"> </w:t>
      </w:r>
      <w:r w:rsidRPr="00E00C07">
        <w:rPr>
          <w:rFonts w:asciiTheme="minorHAnsi" w:hAnsiTheme="minorHAnsi"/>
          <w:color w:val="262626"/>
          <w:szCs w:val="16"/>
          <w:u w:val="none"/>
        </w:rPr>
        <w:t xml:space="preserve">Pineo, H., et al. ‘Health and Wellbeing Impacts of Housing Converted from Non-Residential Buildings: A Mixed-Methods Exploratory Study in London, UK.’ </w:t>
      </w:r>
      <w:r w:rsidRPr="00E00C07">
        <w:rPr>
          <w:rFonts w:asciiTheme="minorHAnsi" w:hAnsiTheme="minorHAnsi"/>
          <w:i/>
          <w:color w:val="262626"/>
          <w:szCs w:val="16"/>
          <w:u w:val="none"/>
        </w:rPr>
        <w:t>Wellbeing, Space and Society</w:t>
      </w:r>
      <w:r w:rsidRPr="00E00C07">
        <w:rPr>
          <w:rFonts w:asciiTheme="minorHAnsi" w:hAnsiTheme="minorHAnsi"/>
          <w:color w:val="262626"/>
          <w:szCs w:val="16"/>
          <w:u w:val="none"/>
        </w:rPr>
        <w:t xml:space="preserve">, 2024. </w:t>
      </w:r>
      <w:hyperlink r:id="rId59">
        <w:r w:rsidRPr="00E00C07">
          <w:rPr>
            <w:rFonts w:asciiTheme="minorHAnsi" w:hAnsiTheme="minorHAnsi"/>
            <w:szCs w:val="16"/>
          </w:rPr>
          <w:t>https://api.semanticscholar.org/CorpusID:268624299</w:t>
        </w:r>
      </w:hyperlink>
      <w:hyperlink r:id="rId60">
        <w:r w:rsidRPr="00E00C07">
          <w:rPr>
            <w:rFonts w:asciiTheme="minorHAnsi" w:hAnsiTheme="minorHAnsi"/>
            <w:color w:val="262626"/>
            <w:szCs w:val="16"/>
            <w:u w:val="none"/>
          </w:rPr>
          <w:t xml:space="preserve"> </w:t>
        </w:r>
      </w:hyperlink>
    </w:p>
  </w:footnote>
  <w:footnote w:id="7">
    <w:p w14:paraId="7387CC1A" w14:textId="739D1E53" w:rsidR="006376FE" w:rsidRDefault="006376FE">
      <w:pPr>
        <w:pStyle w:val="FootnoteText"/>
      </w:pPr>
      <w:r w:rsidRPr="00E00C07">
        <w:rPr>
          <w:rStyle w:val="FootnoteReference"/>
          <w:rFonts w:asciiTheme="minorHAnsi" w:hAnsiTheme="minorHAnsi"/>
          <w:sz w:val="16"/>
          <w:szCs w:val="16"/>
        </w:rPr>
        <w:footnoteRef/>
      </w:r>
      <w:r w:rsidRPr="00E00C07">
        <w:rPr>
          <w:rFonts w:asciiTheme="minorHAnsi" w:hAnsiTheme="minorHAnsi"/>
          <w:sz w:val="16"/>
          <w:szCs w:val="16"/>
        </w:rPr>
        <w:t xml:space="preserve"> </w:t>
      </w:r>
      <w:r w:rsidR="00E00C07" w:rsidRPr="00E00C07">
        <w:rPr>
          <w:rFonts w:asciiTheme="minorHAnsi" w:hAnsiTheme="minorHAnsi"/>
          <w:sz w:val="16"/>
          <w:szCs w:val="16"/>
        </w:rPr>
        <w:t xml:space="preserve">The UCL Permitted Development Converted Housing Project </w:t>
      </w:r>
      <w:hyperlink r:id="rId61" w:history="1">
        <w:r w:rsidR="00E00C07" w:rsidRPr="00E00C07">
          <w:rPr>
            <w:rStyle w:val="Hyperlink"/>
            <w:rFonts w:asciiTheme="minorHAnsi" w:hAnsiTheme="minorHAnsi"/>
            <w:sz w:val="16"/>
            <w:szCs w:val="16"/>
          </w:rPr>
          <w:t>https://www.uclpdhousing.co.uk/</w:t>
        </w:r>
      </w:hyperlink>
      <w:r w:rsidR="00E00C07">
        <w:t xml:space="preserve"> </w:t>
      </w:r>
    </w:p>
  </w:footnote>
  <w:footnote w:id="8">
    <w:p w14:paraId="5D0607A0" w14:textId="30845D71" w:rsidR="00F763B4" w:rsidRDefault="00F763B4" w:rsidP="009D30BD">
      <w:pPr>
        <w:pStyle w:val="footnotedescription"/>
        <w:spacing w:after="0"/>
        <w:ind w:left="0"/>
      </w:pPr>
      <w:r w:rsidRPr="0067284B">
        <w:rPr>
          <w:rStyle w:val="footnotemark"/>
          <w:rFonts w:asciiTheme="minorHAnsi" w:hAnsiTheme="minorHAnsi"/>
          <w:szCs w:val="16"/>
        </w:rPr>
        <w:footnoteRef/>
      </w:r>
      <w:r w:rsidRPr="0067284B">
        <w:rPr>
          <w:rFonts w:asciiTheme="minorHAnsi" w:hAnsiTheme="minorHAnsi"/>
          <w:szCs w:val="16"/>
        </w:rPr>
        <w:t xml:space="preserve"> </w:t>
      </w:r>
      <w:r w:rsidRPr="0067284B">
        <w:rPr>
          <w:rFonts w:asciiTheme="minorHAnsi" w:hAnsiTheme="minorHAnsi"/>
          <w:color w:val="262626"/>
          <w:szCs w:val="16"/>
          <w:u w:val="none"/>
        </w:rPr>
        <w:t>102,830 PDR ho</w:t>
      </w:r>
      <w:r w:rsidR="00AA028F">
        <w:rPr>
          <w:rFonts w:asciiTheme="minorHAnsi" w:hAnsiTheme="minorHAnsi"/>
          <w:color w:val="262626"/>
          <w:szCs w:val="16"/>
          <w:u w:val="none"/>
        </w:rPr>
        <w:t>using</w:t>
      </w:r>
      <w:r w:rsidRPr="0067284B">
        <w:rPr>
          <w:rFonts w:asciiTheme="minorHAnsi" w:hAnsiTheme="minorHAnsi"/>
          <w:color w:val="262626"/>
          <w:szCs w:val="16"/>
          <w:u w:val="none"/>
        </w:rPr>
        <w:t xml:space="preserve"> </w:t>
      </w:r>
      <w:r w:rsidR="00AA028F">
        <w:rPr>
          <w:rFonts w:asciiTheme="minorHAnsi" w:hAnsiTheme="minorHAnsi"/>
          <w:color w:val="262626"/>
          <w:szCs w:val="16"/>
          <w:u w:val="none"/>
        </w:rPr>
        <w:t xml:space="preserve">from </w:t>
      </w:r>
      <w:r w:rsidRPr="0067284B">
        <w:rPr>
          <w:rFonts w:asciiTheme="minorHAnsi" w:hAnsiTheme="minorHAnsi"/>
          <w:color w:val="262626"/>
          <w:szCs w:val="16"/>
          <w:u w:val="none"/>
        </w:rPr>
        <w:t xml:space="preserve">1,592,490 total new homes, 2015-2023 </w:t>
      </w:r>
      <w:hyperlink r:id="rId62">
        <w:r w:rsidRPr="0067284B">
          <w:rPr>
            <w:rFonts w:asciiTheme="minorHAnsi" w:hAnsiTheme="minorHAnsi"/>
            <w:szCs w:val="16"/>
          </w:rPr>
          <w:t>gov.uk/government/statistical</w:t>
        </w:r>
      </w:hyperlink>
      <w:hyperlink r:id="rId63">
        <w:r w:rsidRPr="0067284B">
          <w:rPr>
            <w:rFonts w:asciiTheme="minorHAnsi" w:hAnsiTheme="minorHAnsi"/>
            <w:szCs w:val="16"/>
          </w:rPr>
          <w:t>-</w:t>
        </w:r>
      </w:hyperlink>
      <w:hyperlink r:id="rId64">
        <w:r w:rsidRPr="0067284B">
          <w:rPr>
            <w:rFonts w:asciiTheme="minorHAnsi" w:hAnsiTheme="minorHAnsi"/>
            <w:szCs w:val="16"/>
          </w:rPr>
          <w:t>data</w:t>
        </w:r>
      </w:hyperlink>
      <w:hyperlink r:id="rId65">
        <w:r w:rsidRPr="0067284B">
          <w:rPr>
            <w:rFonts w:asciiTheme="minorHAnsi" w:hAnsiTheme="minorHAnsi"/>
            <w:szCs w:val="16"/>
          </w:rPr>
          <w:t>-</w:t>
        </w:r>
      </w:hyperlink>
      <w:hyperlink r:id="rId66">
        <w:r w:rsidRPr="0067284B">
          <w:rPr>
            <w:rFonts w:asciiTheme="minorHAnsi" w:hAnsiTheme="minorHAnsi"/>
            <w:szCs w:val="16"/>
          </w:rPr>
          <w:t>sets/live</w:t>
        </w:r>
      </w:hyperlink>
      <w:hyperlink r:id="rId67">
        <w:r w:rsidRPr="0067284B">
          <w:rPr>
            <w:rFonts w:asciiTheme="minorHAnsi" w:hAnsiTheme="minorHAnsi"/>
            <w:szCs w:val="16"/>
          </w:rPr>
          <w:t>-</w:t>
        </w:r>
      </w:hyperlink>
      <w:hyperlink r:id="rId68">
        <w:r w:rsidRPr="0067284B">
          <w:rPr>
            <w:rFonts w:asciiTheme="minorHAnsi" w:hAnsiTheme="minorHAnsi"/>
            <w:szCs w:val="16"/>
          </w:rPr>
          <w:t>tables</w:t>
        </w:r>
      </w:hyperlink>
      <w:hyperlink r:id="rId69">
        <w:r w:rsidRPr="0067284B">
          <w:rPr>
            <w:rFonts w:asciiTheme="minorHAnsi" w:hAnsiTheme="minorHAnsi"/>
            <w:szCs w:val="16"/>
          </w:rPr>
          <w:t>-</w:t>
        </w:r>
      </w:hyperlink>
      <w:hyperlink r:id="rId70">
        <w:r w:rsidRPr="0067284B">
          <w:rPr>
            <w:rFonts w:asciiTheme="minorHAnsi" w:hAnsiTheme="minorHAnsi"/>
            <w:szCs w:val="16"/>
          </w:rPr>
          <w:t>on</w:t>
        </w:r>
      </w:hyperlink>
      <w:hyperlink r:id="rId71">
        <w:r w:rsidRPr="0067284B">
          <w:rPr>
            <w:rFonts w:asciiTheme="minorHAnsi" w:hAnsiTheme="minorHAnsi"/>
            <w:szCs w:val="16"/>
          </w:rPr>
          <w:t>-</w:t>
        </w:r>
      </w:hyperlink>
      <w:hyperlink r:id="rId72">
        <w:r w:rsidRPr="0067284B">
          <w:rPr>
            <w:rFonts w:asciiTheme="minorHAnsi" w:hAnsiTheme="minorHAnsi"/>
            <w:szCs w:val="16"/>
          </w:rPr>
          <w:t>net</w:t>
        </w:r>
      </w:hyperlink>
      <w:hyperlink r:id="rId73">
        <w:r w:rsidRPr="0067284B">
          <w:rPr>
            <w:rFonts w:asciiTheme="minorHAnsi" w:hAnsiTheme="minorHAnsi"/>
            <w:szCs w:val="16"/>
          </w:rPr>
          <w:t>-</w:t>
        </w:r>
      </w:hyperlink>
      <w:hyperlink r:id="rId74">
        <w:r w:rsidRPr="0067284B">
          <w:rPr>
            <w:rFonts w:asciiTheme="minorHAnsi" w:hAnsiTheme="minorHAnsi"/>
            <w:szCs w:val="16"/>
          </w:rPr>
          <w:t>supply</w:t>
        </w:r>
      </w:hyperlink>
      <w:hyperlink r:id="rId75">
        <w:r w:rsidRPr="0067284B">
          <w:rPr>
            <w:rFonts w:asciiTheme="minorHAnsi" w:hAnsiTheme="minorHAnsi"/>
            <w:szCs w:val="16"/>
          </w:rPr>
          <w:t>-</w:t>
        </w:r>
      </w:hyperlink>
      <w:hyperlink r:id="rId76">
        <w:r w:rsidRPr="0067284B">
          <w:rPr>
            <w:rFonts w:asciiTheme="minorHAnsi" w:hAnsiTheme="minorHAnsi"/>
            <w:szCs w:val="16"/>
          </w:rPr>
          <w:t>of</w:t>
        </w:r>
      </w:hyperlink>
      <w:hyperlink r:id="rId77">
        <w:r w:rsidRPr="0067284B">
          <w:rPr>
            <w:rFonts w:asciiTheme="minorHAnsi" w:hAnsiTheme="minorHAnsi"/>
            <w:szCs w:val="16"/>
          </w:rPr>
          <w:t>-</w:t>
        </w:r>
      </w:hyperlink>
      <w:hyperlink r:id="rId78">
        <w:r w:rsidRPr="0067284B">
          <w:rPr>
            <w:rFonts w:asciiTheme="minorHAnsi" w:hAnsiTheme="minorHAnsi"/>
            <w:szCs w:val="16"/>
          </w:rPr>
          <w:t>housing</w:t>
        </w:r>
      </w:hyperlink>
      <w:hyperlink r:id="rId79">
        <w:r w:rsidRPr="0067284B">
          <w:rPr>
            <w:rFonts w:asciiTheme="minorHAnsi" w:hAnsiTheme="minorHAnsi"/>
            <w:color w:val="262626"/>
            <w:szCs w:val="16"/>
            <w:u w:val="none"/>
          </w:rPr>
          <w:t xml:space="preserve"> </w:t>
        </w:r>
      </w:hyperlink>
      <w:r w:rsidRPr="0067284B">
        <w:rPr>
          <w:rFonts w:asciiTheme="minorHAnsi" w:hAnsiTheme="minorHAnsi"/>
          <w:color w:val="262626"/>
          <w:szCs w:val="16"/>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52" w:type="dxa"/>
      <w:tblLook w:val="0600" w:firstRow="0" w:lastRow="0" w:firstColumn="0" w:lastColumn="0" w:noHBand="1" w:noVBand="1"/>
    </w:tblPr>
    <w:tblGrid>
      <w:gridCol w:w="7370"/>
      <w:gridCol w:w="1928"/>
      <w:gridCol w:w="454"/>
    </w:tblGrid>
    <w:tr w:rsidR="002330A4" w14:paraId="613EC373" w14:textId="77777777" w:rsidTr="009E0B49">
      <w:trPr>
        <w:trHeight w:hRule="exact" w:val="567"/>
      </w:trPr>
      <w:tc>
        <w:tcPr>
          <w:tcW w:w="7370" w:type="dxa"/>
          <w:tcBorders>
            <w:bottom w:val="single" w:sz="6" w:space="0" w:color="auto"/>
          </w:tcBorders>
        </w:tcPr>
        <w:p w14:paraId="630C620C" w14:textId="77777777" w:rsidR="002330A4" w:rsidRDefault="002330A4" w:rsidP="002330A4">
          <w:pPr>
            <w:pStyle w:val="Header"/>
          </w:pPr>
        </w:p>
      </w:tc>
      <w:tc>
        <w:tcPr>
          <w:tcW w:w="1928" w:type="dxa"/>
          <w:tcBorders>
            <w:bottom w:val="single" w:sz="6" w:space="0" w:color="auto"/>
          </w:tcBorders>
        </w:tcPr>
        <w:p w14:paraId="6D1A48BD" w14:textId="77777777" w:rsidR="002330A4" w:rsidRDefault="002330A4" w:rsidP="002330A4">
          <w:pPr>
            <w:pStyle w:val="Header"/>
          </w:pPr>
        </w:p>
      </w:tc>
      <w:tc>
        <w:tcPr>
          <w:tcW w:w="454" w:type="dxa"/>
        </w:tcPr>
        <w:p w14:paraId="24656775" w14:textId="77777777" w:rsidR="002330A4" w:rsidRDefault="002330A4" w:rsidP="002330A4">
          <w:pPr>
            <w:pStyle w:val="Header"/>
          </w:pPr>
        </w:p>
      </w:tc>
    </w:tr>
    <w:tr w:rsidR="002330A4" w:rsidRPr="00376358" w14:paraId="75494ED5" w14:textId="77777777" w:rsidTr="002B692F">
      <w:tc>
        <w:tcPr>
          <w:tcW w:w="7370" w:type="dxa"/>
          <w:tcBorders>
            <w:top w:val="single" w:sz="6" w:space="0" w:color="auto"/>
            <w:bottom w:val="single" w:sz="6" w:space="0" w:color="auto"/>
          </w:tcBorders>
          <w:tcMar>
            <w:top w:w="142" w:type="dxa"/>
            <w:bottom w:w="144" w:type="dxa"/>
          </w:tcMar>
        </w:tcPr>
        <w:p w14:paraId="3FDD0BB6" w14:textId="44208ED0" w:rsidR="00D306E8" w:rsidRPr="002B692F" w:rsidRDefault="005E5A10" w:rsidP="002330A4">
          <w:pPr>
            <w:pStyle w:val="Header"/>
            <w:rPr>
              <w:b/>
              <w:bCs/>
            </w:rPr>
          </w:pPr>
          <w:r>
            <w:rPr>
              <w:rStyle w:val="Strong"/>
            </w:rPr>
            <w:t xml:space="preserve">TCPA briefing </w:t>
          </w:r>
        </w:p>
      </w:tc>
      <w:tc>
        <w:tcPr>
          <w:tcW w:w="1928" w:type="dxa"/>
          <w:tcBorders>
            <w:top w:val="single" w:sz="6" w:space="0" w:color="auto"/>
            <w:bottom w:val="single" w:sz="6" w:space="0" w:color="auto"/>
          </w:tcBorders>
          <w:tcMar>
            <w:top w:w="142" w:type="dxa"/>
            <w:bottom w:w="144" w:type="dxa"/>
          </w:tcMar>
        </w:tcPr>
        <w:p w14:paraId="1E172567" w14:textId="3FAE8648" w:rsidR="002330A4" w:rsidRPr="00376358" w:rsidRDefault="00F6312A" w:rsidP="002330A4">
          <w:pPr>
            <w:pStyle w:val="Header"/>
            <w:jc w:val="right"/>
          </w:pPr>
          <w:fldSimple w:instr="STYLEREF  Date  \* MERGEFORMAT">
            <w:r w:rsidR="001A67B8">
              <w:rPr>
                <w:noProof/>
              </w:rPr>
              <w:t>December 2024</w:t>
            </w:r>
          </w:fldSimple>
        </w:p>
      </w:tc>
      <w:tc>
        <w:tcPr>
          <w:tcW w:w="454" w:type="dxa"/>
          <w:tcMar>
            <w:top w:w="142" w:type="dxa"/>
            <w:bottom w:w="144" w:type="dxa"/>
          </w:tcMar>
        </w:tcPr>
        <w:p w14:paraId="7902A38D" w14:textId="77777777" w:rsidR="002330A4" w:rsidRPr="00EF6720" w:rsidRDefault="002330A4" w:rsidP="002330A4">
          <w:pPr>
            <w:pStyle w:val="Header"/>
            <w:jc w:val="right"/>
            <w:rPr>
              <w:b/>
              <w:bCs/>
            </w:rPr>
          </w:pPr>
          <w:r w:rsidRPr="00EF6720">
            <w:rPr>
              <w:b/>
              <w:bCs/>
            </w:rPr>
            <w:fldChar w:fldCharType="begin"/>
          </w:r>
          <w:r w:rsidRPr="00EF6720">
            <w:rPr>
              <w:b/>
              <w:bCs/>
            </w:rPr>
            <w:instrText xml:space="preserve"> PAGE   \* MERGEFORMAT </w:instrText>
          </w:r>
          <w:r w:rsidRPr="00EF6720">
            <w:rPr>
              <w:b/>
              <w:bCs/>
            </w:rPr>
            <w:fldChar w:fldCharType="separate"/>
          </w:r>
          <w:r w:rsidRPr="00EF6720">
            <w:rPr>
              <w:b/>
              <w:bCs/>
              <w:noProof/>
            </w:rPr>
            <w:t>1</w:t>
          </w:r>
          <w:r w:rsidRPr="00EF6720">
            <w:rPr>
              <w:b/>
              <w:bCs/>
              <w:noProof/>
            </w:rPr>
            <w:fldChar w:fldCharType="end"/>
          </w:r>
        </w:p>
      </w:tc>
    </w:tr>
  </w:tbl>
  <w:p w14:paraId="18622FE7" w14:textId="77777777" w:rsidR="002330A4" w:rsidRPr="005A79F0" w:rsidRDefault="002330A4" w:rsidP="005A7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4B92" w14:textId="77777777" w:rsidR="003A61E8" w:rsidRDefault="003A61E8" w:rsidP="003A61E8">
    <w:pPr>
      <w:spacing w:after="0"/>
    </w:pPr>
  </w:p>
  <w:tbl>
    <w:tblPr>
      <w:tblStyle w:val="TableGrid"/>
      <w:tblW w:w="9752" w:type="dxa"/>
      <w:tblLook w:val="0600" w:firstRow="0" w:lastRow="0" w:firstColumn="0" w:lastColumn="0" w:noHBand="1" w:noVBand="1"/>
    </w:tblPr>
    <w:tblGrid>
      <w:gridCol w:w="4904"/>
      <w:gridCol w:w="2466"/>
      <w:gridCol w:w="1928"/>
      <w:gridCol w:w="454"/>
    </w:tblGrid>
    <w:tr w:rsidR="00EF6720" w:rsidRPr="00376358" w14:paraId="235CF03E" w14:textId="77777777" w:rsidTr="009E0B49">
      <w:trPr>
        <w:trHeight w:hRule="exact" w:val="1134"/>
      </w:trPr>
      <w:tc>
        <w:tcPr>
          <w:tcW w:w="4904" w:type="dxa"/>
          <w:tcBorders>
            <w:top w:val="single" w:sz="6" w:space="0" w:color="auto"/>
            <w:bottom w:val="single" w:sz="6" w:space="0" w:color="auto"/>
          </w:tcBorders>
          <w:tcMar>
            <w:top w:w="142" w:type="dxa"/>
          </w:tcMar>
        </w:tcPr>
        <w:p w14:paraId="2420DE77" w14:textId="77777777" w:rsidR="00EF6720" w:rsidRPr="00376358" w:rsidRDefault="00EF6720" w:rsidP="00376358">
          <w:pPr>
            <w:pStyle w:val="Header"/>
            <w:rPr>
              <w:rStyle w:val="Strong"/>
            </w:rPr>
          </w:pPr>
          <w:r w:rsidRPr="00376358">
            <w:rPr>
              <w:rStyle w:val="Strong"/>
            </w:rPr>
            <w:t>Town and Country Planning Association</w:t>
          </w:r>
        </w:p>
        <w:p w14:paraId="1C033D78" w14:textId="77777777" w:rsidR="00EF6720" w:rsidRPr="00376358" w:rsidRDefault="00EF6720" w:rsidP="00376358">
          <w:pPr>
            <w:pStyle w:val="Header"/>
          </w:pPr>
          <w:r w:rsidRPr="00376358">
            <w:t xml:space="preserve">Working to secure homes, places and communities </w:t>
          </w:r>
          <w:r w:rsidRPr="00376358">
            <w:br/>
            <w:t>where everyone can thrive</w:t>
          </w:r>
        </w:p>
      </w:tc>
      <w:tc>
        <w:tcPr>
          <w:tcW w:w="2466" w:type="dxa"/>
          <w:tcBorders>
            <w:top w:val="single" w:sz="6" w:space="0" w:color="auto"/>
            <w:bottom w:val="single" w:sz="6" w:space="0" w:color="auto"/>
          </w:tcBorders>
          <w:tcMar>
            <w:top w:w="142" w:type="dxa"/>
          </w:tcMar>
        </w:tcPr>
        <w:p w14:paraId="4359EDF3" w14:textId="77777777" w:rsidR="00EF6720" w:rsidRPr="00376358" w:rsidRDefault="00EF6720" w:rsidP="00376358">
          <w:pPr>
            <w:pStyle w:val="Header"/>
          </w:pPr>
          <w:r w:rsidRPr="00376358">
            <w:t>17 Carlton House Terrace</w:t>
          </w:r>
        </w:p>
        <w:p w14:paraId="6C0A5672" w14:textId="77777777" w:rsidR="00EF6720" w:rsidRPr="00376358" w:rsidRDefault="00EF6720" w:rsidP="00376358">
          <w:pPr>
            <w:pStyle w:val="Header"/>
          </w:pPr>
          <w:r w:rsidRPr="00376358">
            <w:t>London, SW1Y 5AS</w:t>
          </w:r>
        </w:p>
        <w:p w14:paraId="63A34514" w14:textId="77777777" w:rsidR="00EF6720" w:rsidRPr="00376358" w:rsidRDefault="00EF6720" w:rsidP="00376358">
          <w:pPr>
            <w:pStyle w:val="Header"/>
          </w:pPr>
          <w:r w:rsidRPr="00376358">
            <w:t>www.tcpa.org.uk</w:t>
          </w:r>
        </w:p>
      </w:tc>
      <w:tc>
        <w:tcPr>
          <w:tcW w:w="1928" w:type="dxa"/>
          <w:tcBorders>
            <w:top w:val="single" w:sz="6" w:space="0" w:color="auto"/>
            <w:bottom w:val="single" w:sz="6" w:space="0" w:color="auto"/>
          </w:tcBorders>
          <w:tcMar>
            <w:top w:w="142" w:type="dxa"/>
          </w:tcMar>
        </w:tcPr>
        <w:p w14:paraId="099DFF3D" w14:textId="0DD10F3E" w:rsidR="00EF6720" w:rsidRPr="00376358" w:rsidRDefault="00F6312A" w:rsidP="00376358">
          <w:pPr>
            <w:pStyle w:val="Header"/>
            <w:jc w:val="right"/>
          </w:pPr>
          <w:fldSimple w:instr="STYLEREF  Date  \* MERGEFORMAT">
            <w:r w:rsidR="001A67B8">
              <w:rPr>
                <w:noProof/>
              </w:rPr>
              <w:t>December 2024</w:t>
            </w:r>
          </w:fldSimple>
        </w:p>
      </w:tc>
      <w:tc>
        <w:tcPr>
          <w:tcW w:w="454" w:type="dxa"/>
          <w:tcMar>
            <w:top w:w="142" w:type="dxa"/>
          </w:tcMar>
        </w:tcPr>
        <w:p w14:paraId="0D557B04" w14:textId="77777777" w:rsidR="00EF6720" w:rsidRPr="00EF6720" w:rsidRDefault="00EF6720" w:rsidP="00376358">
          <w:pPr>
            <w:pStyle w:val="Header"/>
            <w:jc w:val="right"/>
            <w:rPr>
              <w:b/>
              <w:bCs/>
            </w:rPr>
          </w:pPr>
          <w:r w:rsidRPr="00EF6720">
            <w:rPr>
              <w:b/>
              <w:bCs/>
            </w:rPr>
            <w:fldChar w:fldCharType="begin"/>
          </w:r>
          <w:r w:rsidRPr="00EF6720">
            <w:rPr>
              <w:b/>
              <w:bCs/>
            </w:rPr>
            <w:instrText xml:space="preserve"> PAGE   \* MERGEFORMAT </w:instrText>
          </w:r>
          <w:r w:rsidRPr="00EF6720">
            <w:rPr>
              <w:b/>
              <w:bCs/>
            </w:rPr>
            <w:fldChar w:fldCharType="separate"/>
          </w:r>
          <w:r w:rsidRPr="00EF6720">
            <w:rPr>
              <w:b/>
              <w:bCs/>
              <w:noProof/>
            </w:rPr>
            <w:t>1</w:t>
          </w:r>
          <w:r w:rsidRPr="00EF6720">
            <w:rPr>
              <w:b/>
              <w:bCs/>
              <w:noProof/>
            </w:rPr>
            <w:fldChar w:fldCharType="end"/>
          </w:r>
        </w:p>
      </w:tc>
    </w:tr>
  </w:tbl>
  <w:p w14:paraId="369CCA44" w14:textId="22213730" w:rsidR="00314F2A" w:rsidRPr="00A24FD3" w:rsidRDefault="003E6455" w:rsidP="00A24FD3">
    <w:pPr>
      <w:pStyle w:val="Header"/>
    </w:pPr>
    <w:r>
      <w:rPr>
        <w:noProof/>
      </w:rPr>
      <w:drawing>
        <wp:anchor distT="0" distB="0" distL="114300" distR="114300" simplePos="0" relativeHeight="251658240" behindDoc="1" locked="0" layoutInCell="1" allowOverlap="1" wp14:anchorId="72775F28" wp14:editId="2FCAC168">
          <wp:simplePos x="0" y="0"/>
          <wp:positionH relativeFrom="page">
            <wp:posOffset>174449</wp:posOffset>
          </wp:positionH>
          <wp:positionV relativeFrom="page">
            <wp:posOffset>540784</wp:posOffset>
          </wp:positionV>
          <wp:extent cx="486360" cy="768240"/>
          <wp:effectExtent l="0" t="0" r="9525" b="0"/>
          <wp:wrapNone/>
          <wp:docPr id="60747604" name="Graphic 6074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86360" cy="768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0687C0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F5434B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17C15A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4134B9"/>
    <w:multiLevelType w:val="hybridMultilevel"/>
    <w:tmpl w:val="A0A4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699F"/>
    <w:multiLevelType w:val="hybridMultilevel"/>
    <w:tmpl w:val="8552F954"/>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8E5630"/>
    <w:multiLevelType w:val="hybridMultilevel"/>
    <w:tmpl w:val="2EC4882A"/>
    <w:lvl w:ilvl="0" w:tplc="DC4009C6">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96055"/>
    <w:multiLevelType w:val="hybridMultilevel"/>
    <w:tmpl w:val="AAA63D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D5384B"/>
    <w:multiLevelType w:val="hybridMultilevel"/>
    <w:tmpl w:val="99C6D7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3F0EE9"/>
    <w:multiLevelType w:val="hybridMultilevel"/>
    <w:tmpl w:val="B0B811E6"/>
    <w:lvl w:ilvl="0" w:tplc="1ACA2FA6">
      <w:start w:val="1"/>
      <w:numFmt w:val="lowerLetter"/>
      <w:pStyle w:val="ListLetter"/>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873D07"/>
    <w:multiLevelType w:val="hybridMultilevel"/>
    <w:tmpl w:val="17FA2854"/>
    <w:lvl w:ilvl="0" w:tplc="1B9C88B6">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25BCE"/>
    <w:multiLevelType w:val="multilevel"/>
    <w:tmpl w:val="C3C033F8"/>
    <w:lvl w:ilvl="0">
      <w:start w:val="1"/>
      <w:numFmt w:val="bullet"/>
      <w:pStyle w:val="ListBullet"/>
      <w:lvlText w:val="•"/>
      <w:lvlJc w:val="left"/>
      <w:pPr>
        <w:ind w:left="227" w:hanging="227"/>
      </w:pPr>
      <w:rPr>
        <w:rFonts w:asciiTheme="minorHAnsi" w:hAnsiTheme="minorHAnsi" w:hint="default"/>
        <w:color w:val="auto"/>
      </w:rPr>
    </w:lvl>
    <w:lvl w:ilvl="1">
      <w:start w:val="1"/>
      <w:numFmt w:val="bullet"/>
      <w:pStyle w:val="ListBullet2"/>
      <w:lvlText w:val="◦"/>
      <w:lvlJc w:val="left"/>
      <w:pPr>
        <w:ind w:left="454" w:hanging="227"/>
      </w:pPr>
      <w:rPr>
        <w:rFonts w:asciiTheme="minorHAnsi" w:hAnsiTheme="minorHAnsi" w:hint="default"/>
        <w:color w:val="auto"/>
      </w:rPr>
    </w:lvl>
    <w:lvl w:ilvl="2">
      <w:start w:val="1"/>
      <w:numFmt w:val="bullet"/>
      <w:pStyle w:val="ListBullet3"/>
      <w:lvlText w:val="–"/>
      <w:lvlJc w:val="left"/>
      <w:pPr>
        <w:ind w:left="681" w:hanging="227"/>
      </w:pPr>
      <w:rPr>
        <w:rFonts w:asciiTheme="minorHAnsi" w:hAnsiTheme="minorHAnsi" w:hint="default"/>
        <w:color w:val="auto"/>
      </w:rPr>
    </w:lvl>
    <w:lvl w:ilvl="3">
      <w:start w:val="1"/>
      <w:numFmt w:val="bullet"/>
      <w:lvlText w:val="–"/>
      <w:lvlJc w:val="left"/>
      <w:pPr>
        <w:ind w:left="908" w:hanging="227"/>
      </w:pPr>
      <w:rPr>
        <w:rFonts w:asciiTheme="minorHAnsi" w:hAnsiTheme="minorHAnsi" w:hint="default"/>
        <w:color w:val="auto"/>
      </w:rPr>
    </w:lvl>
    <w:lvl w:ilvl="4">
      <w:start w:val="1"/>
      <w:numFmt w:val="bullet"/>
      <w:lvlText w:val="–"/>
      <w:lvlJc w:val="left"/>
      <w:pPr>
        <w:ind w:left="1135" w:hanging="227"/>
      </w:pPr>
      <w:rPr>
        <w:rFonts w:asciiTheme="minorHAnsi" w:hAnsiTheme="minorHAnsi" w:hint="default"/>
        <w:color w:val="auto"/>
      </w:rPr>
    </w:lvl>
    <w:lvl w:ilvl="5">
      <w:start w:val="1"/>
      <w:numFmt w:val="bullet"/>
      <w:lvlText w:val="–"/>
      <w:lvlJc w:val="left"/>
      <w:pPr>
        <w:ind w:left="1362" w:hanging="227"/>
      </w:pPr>
      <w:rPr>
        <w:rFonts w:asciiTheme="minorHAnsi" w:hAnsiTheme="minorHAnsi" w:hint="default"/>
        <w:color w:val="auto"/>
      </w:rPr>
    </w:lvl>
    <w:lvl w:ilvl="6">
      <w:start w:val="1"/>
      <w:numFmt w:val="bullet"/>
      <w:lvlText w:val="–"/>
      <w:lvlJc w:val="left"/>
      <w:pPr>
        <w:ind w:left="1589" w:hanging="227"/>
      </w:pPr>
      <w:rPr>
        <w:rFonts w:asciiTheme="minorHAnsi" w:hAnsiTheme="minorHAnsi" w:hint="default"/>
        <w:color w:val="auto"/>
      </w:rPr>
    </w:lvl>
    <w:lvl w:ilvl="7">
      <w:start w:val="1"/>
      <w:numFmt w:val="bullet"/>
      <w:lvlText w:val="–"/>
      <w:lvlJc w:val="left"/>
      <w:pPr>
        <w:ind w:left="1816" w:hanging="227"/>
      </w:pPr>
      <w:rPr>
        <w:rFonts w:asciiTheme="minorHAnsi" w:hAnsiTheme="minorHAnsi" w:hint="default"/>
        <w:color w:val="auto"/>
      </w:rPr>
    </w:lvl>
    <w:lvl w:ilvl="8">
      <w:start w:val="1"/>
      <w:numFmt w:val="bullet"/>
      <w:lvlText w:val="–"/>
      <w:lvlJc w:val="left"/>
      <w:pPr>
        <w:ind w:left="2043" w:hanging="227"/>
      </w:pPr>
      <w:rPr>
        <w:rFonts w:asciiTheme="minorHAnsi" w:hAnsiTheme="minorHAnsi" w:hint="default"/>
        <w:color w:val="auto"/>
      </w:rPr>
    </w:lvl>
  </w:abstractNum>
  <w:abstractNum w:abstractNumId="11" w15:restartNumberingAfterBreak="0">
    <w:nsid w:val="451F68ED"/>
    <w:multiLevelType w:val="multilevel"/>
    <w:tmpl w:val="25767D1E"/>
    <w:lvl w:ilvl="0">
      <w:start w:val="3"/>
      <w:numFmt w:val="decimal"/>
      <w:lvlText w:val="%1"/>
      <w:lvlJc w:val="left"/>
      <w:pPr>
        <w:ind w:left="537"/>
      </w:pPr>
      <w:rPr>
        <w:rFonts w:ascii="Arial" w:eastAsia="Arial" w:hAnsi="Arial" w:cs="Arial"/>
        <w:b/>
        <w:bCs/>
        <w:i w:val="0"/>
        <w:strike w:val="0"/>
        <w:dstrike w:val="0"/>
        <w:color w:val="262626"/>
        <w:sz w:val="22"/>
        <w:szCs w:val="22"/>
        <w:u w:val="none" w:color="000000"/>
        <w:bdr w:val="none" w:sz="0" w:space="0" w:color="auto"/>
        <w:shd w:val="clear" w:color="auto" w:fill="auto"/>
        <w:vertAlign w:val="baseline"/>
      </w:rPr>
    </w:lvl>
    <w:lvl w:ilvl="1">
      <w:start w:val="1"/>
      <w:numFmt w:val="decimal"/>
      <w:lvlText w:val="%1.%2"/>
      <w:lvlJc w:val="left"/>
      <w:pPr>
        <w:ind w:left="1441"/>
      </w:pPr>
      <w:rPr>
        <w:rFonts w:ascii="Arial" w:eastAsia="Arial" w:hAnsi="Arial" w:cs="Arial"/>
        <w:b/>
        <w:bCs/>
        <w:i w:val="0"/>
        <w:strike w:val="0"/>
        <w:dstrike w:val="0"/>
        <w:color w:val="262626"/>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262626"/>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262626"/>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262626"/>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262626"/>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262626"/>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262626"/>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262626"/>
        <w:sz w:val="22"/>
        <w:szCs w:val="22"/>
        <w:u w:val="none" w:color="000000"/>
        <w:bdr w:val="none" w:sz="0" w:space="0" w:color="auto"/>
        <w:shd w:val="clear" w:color="auto" w:fill="auto"/>
        <w:vertAlign w:val="baseline"/>
      </w:rPr>
    </w:lvl>
  </w:abstractNum>
  <w:abstractNum w:abstractNumId="12" w15:restartNumberingAfterBreak="0">
    <w:nsid w:val="4934256B"/>
    <w:multiLevelType w:val="multilevel"/>
    <w:tmpl w:val="D5BAC2AE"/>
    <w:lvl w:ilvl="0">
      <w:start w:val="1"/>
      <w:numFmt w:val="decimal"/>
      <w:pStyle w:val="Heading1"/>
      <w:lvlText w:val="%1"/>
      <w:lvlJc w:val="right"/>
      <w:pPr>
        <w:ind w:left="0" w:hanging="227"/>
      </w:pPr>
      <w:rPr>
        <w:rFonts w:hint="default"/>
      </w:rPr>
    </w:lvl>
    <w:lvl w:ilvl="1">
      <w:start w:val="1"/>
      <w:numFmt w:val="decimal"/>
      <w:pStyle w:val="Heading2"/>
      <w:lvlText w:val="%1.%2"/>
      <w:lvlJc w:val="right"/>
      <w:pPr>
        <w:ind w:left="0" w:hanging="227"/>
      </w:pPr>
      <w:rPr>
        <w:rFonts w:hint="default"/>
      </w:rPr>
    </w:lvl>
    <w:lvl w:ilvl="2">
      <w:start w:val="1"/>
      <w:numFmt w:val="bullet"/>
      <w:lvlText w:val="–"/>
      <w:lvlJc w:val="left"/>
      <w:pPr>
        <w:ind w:left="0" w:hanging="227"/>
      </w:pPr>
      <w:rPr>
        <w:rFonts w:asciiTheme="minorHAnsi" w:hAnsiTheme="minorHAnsi" w:hint="default"/>
        <w:color w:val="auto"/>
      </w:rPr>
    </w:lvl>
    <w:lvl w:ilvl="3">
      <w:start w:val="1"/>
      <w:numFmt w:val="bullet"/>
      <w:lvlText w:val="–"/>
      <w:lvlJc w:val="left"/>
      <w:pPr>
        <w:ind w:left="0" w:hanging="227"/>
      </w:pPr>
      <w:rPr>
        <w:rFonts w:asciiTheme="minorHAnsi" w:hAnsiTheme="minorHAnsi" w:hint="default"/>
        <w:color w:val="auto"/>
      </w:rPr>
    </w:lvl>
    <w:lvl w:ilvl="4">
      <w:start w:val="1"/>
      <w:numFmt w:val="bullet"/>
      <w:lvlText w:val="–"/>
      <w:lvlJc w:val="left"/>
      <w:pPr>
        <w:ind w:left="0" w:hanging="227"/>
      </w:pPr>
      <w:rPr>
        <w:rFonts w:asciiTheme="minorHAnsi" w:hAnsiTheme="minorHAnsi" w:hint="default"/>
        <w:color w:val="auto"/>
      </w:rPr>
    </w:lvl>
    <w:lvl w:ilvl="5">
      <w:start w:val="1"/>
      <w:numFmt w:val="bullet"/>
      <w:lvlText w:val="–"/>
      <w:lvlJc w:val="left"/>
      <w:pPr>
        <w:ind w:left="0" w:hanging="227"/>
      </w:pPr>
      <w:rPr>
        <w:rFonts w:asciiTheme="minorHAnsi" w:hAnsiTheme="minorHAnsi" w:hint="default"/>
        <w:color w:val="auto"/>
      </w:rPr>
    </w:lvl>
    <w:lvl w:ilvl="6">
      <w:start w:val="1"/>
      <w:numFmt w:val="bullet"/>
      <w:lvlText w:val="–"/>
      <w:lvlJc w:val="left"/>
      <w:pPr>
        <w:ind w:left="0" w:hanging="227"/>
      </w:pPr>
      <w:rPr>
        <w:rFonts w:asciiTheme="minorHAnsi" w:hAnsiTheme="minorHAnsi" w:hint="default"/>
        <w:color w:val="auto"/>
      </w:rPr>
    </w:lvl>
    <w:lvl w:ilvl="7">
      <w:start w:val="1"/>
      <w:numFmt w:val="bullet"/>
      <w:lvlText w:val="–"/>
      <w:lvlJc w:val="left"/>
      <w:pPr>
        <w:ind w:left="0" w:hanging="227"/>
      </w:pPr>
      <w:rPr>
        <w:rFonts w:asciiTheme="minorHAnsi" w:hAnsiTheme="minorHAnsi" w:hint="default"/>
        <w:color w:val="auto"/>
      </w:rPr>
    </w:lvl>
    <w:lvl w:ilvl="8">
      <w:start w:val="1"/>
      <w:numFmt w:val="bullet"/>
      <w:lvlText w:val="–"/>
      <w:lvlJc w:val="left"/>
      <w:pPr>
        <w:ind w:left="0" w:hanging="227"/>
      </w:pPr>
      <w:rPr>
        <w:rFonts w:asciiTheme="minorHAnsi" w:hAnsiTheme="minorHAnsi" w:hint="default"/>
        <w:color w:val="auto"/>
      </w:rPr>
    </w:lvl>
  </w:abstractNum>
  <w:abstractNum w:abstractNumId="13" w15:restartNumberingAfterBreak="0">
    <w:nsid w:val="4E601059"/>
    <w:multiLevelType w:val="hybridMultilevel"/>
    <w:tmpl w:val="FCE80E50"/>
    <w:lvl w:ilvl="0" w:tplc="CACC6F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E400D"/>
    <w:multiLevelType w:val="hybridMultilevel"/>
    <w:tmpl w:val="DB84105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BC338D"/>
    <w:multiLevelType w:val="hybridMultilevel"/>
    <w:tmpl w:val="E0C20068"/>
    <w:lvl w:ilvl="0" w:tplc="0809000B">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EF3405"/>
    <w:multiLevelType w:val="hybridMultilevel"/>
    <w:tmpl w:val="D718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775896">
    <w:abstractNumId w:val="2"/>
  </w:num>
  <w:num w:numId="2" w16cid:durableId="1740248488">
    <w:abstractNumId w:val="1"/>
  </w:num>
  <w:num w:numId="3" w16cid:durableId="1763718623">
    <w:abstractNumId w:val="0"/>
  </w:num>
  <w:num w:numId="4" w16cid:durableId="1435785168">
    <w:abstractNumId w:val="10"/>
  </w:num>
  <w:num w:numId="5" w16cid:durableId="324935953">
    <w:abstractNumId w:val="12"/>
  </w:num>
  <w:num w:numId="6" w16cid:durableId="1999727802">
    <w:abstractNumId w:val="7"/>
  </w:num>
  <w:num w:numId="7" w16cid:durableId="382482320">
    <w:abstractNumId w:val="8"/>
  </w:num>
  <w:num w:numId="8" w16cid:durableId="2013602419">
    <w:abstractNumId w:val="3"/>
  </w:num>
  <w:num w:numId="9" w16cid:durableId="1420634544">
    <w:abstractNumId w:val="13"/>
  </w:num>
  <w:num w:numId="10" w16cid:durableId="27680761">
    <w:abstractNumId w:val="6"/>
  </w:num>
  <w:num w:numId="11" w16cid:durableId="894394654">
    <w:abstractNumId w:val="9"/>
  </w:num>
  <w:num w:numId="12" w16cid:durableId="335153775">
    <w:abstractNumId w:val="11"/>
  </w:num>
  <w:num w:numId="13" w16cid:durableId="1884248089">
    <w:abstractNumId w:val="16"/>
  </w:num>
  <w:num w:numId="14" w16cid:durableId="1708022025">
    <w:abstractNumId w:val="5"/>
  </w:num>
  <w:num w:numId="15" w16cid:durableId="1131171072">
    <w:abstractNumId w:val="4"/>
  </w:num>
  <w:num w:numId="16" w16cid:durableId="1931234882">
    <w:abstractNumId w:val="15"/>
  </w:num>
  <w:num w:numId="17" w16cid:durableId="21356378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2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FB"/>
    <w:rsid w:val="00000F6B"/>
    <w:rsid w:val="0000158B"/>
    <w:rsid w:val="0000347E"/>
    <w:rsid w:val="00006B3A"/>
    <w:rsid w:val="00007F09"/>
    <w:rsid w:val="0001022A"/>
    <w:rsid w:val="000114F8"/>
    <w:rsid w:val="000131BD"/>
    <w:rsid w:val="00014340"/>
    <w:rsid w:val="00017836"/>
    <w:rsid w:val="0002031B"/>
    <w:rsid w:val="00020373"/>
    <w:rsid w:val="00022704"/>
    <w:rsid w:val="000248C5"/>
    <w:rsid w:val="0003082A"/>
    <w:rsid w:val="00033140"/>
    <w:rsid w:val="00035D17"/>
    <w:rsid w:val="000375D6"/>
    <w:rsid w:val="000413B5"/>
    <w:rsid w:val="00042A23"/>
    <w:rsid w:val="0004343D"/>
    <w:rsid w:val="00051E4A"/>
    <w:rsid w:val="000524DB"/>
    <w:rsid w:val="00053CB4"/>
    <w:rsid w:val="00055C46"/>
    <w:rsid w:val="00060DDB"/>
    <w:rsid w:val="000664DF"/>
    <w:rsid w:val="000667EC"/>
    <w:rsid w:val="00067920"/>
    <w:rsid w:val="000705E0"/>
    <w:rsid w:val="00077D22"/>
    <w:rsid w:val="00084000"/>
    <w:rsid w:val="000916B6"/>
    <w:rsid w:val="000A0E06"/>
    <w:rsid w:val="000A1823"/>
    <w:rsid w:val="000A449F"/>
    <w:rsid w:val="000A4AAA"/>
    <w:rsid w:val="000B1F4D"/>
    <w:rsid w:val="000B20AF"/>
    <w:rsid w:val="000B32A9"/>
    <w:rsid w:val="000B6FCF"/>
    <w:rsid w:val="000C12A9"/>
    <w:rsid w:val="000C2126"/>
    <w:rsid w:val="000C5007"/>
    <w:rsid w:val="000C5715"/>
    <w:rsid w:val="000D2A40"/>
    <w:rsid w:val="000D3790"/>
    <w:rsid w:val="000E531F"/>
    <w:rsid w:val="000E53F0"/>
    <w:rsid w:val="000E7861"/>
    <w:rsid w:val="000F0C4C"/>
    <w:rsid w:val="000F1ACC"/>
    <w:rsid w:val="000F4667"/>
    <w:rsid w:val="000F6517"/>
    <w:rsid w:val="00102AB5"/>
    <w:rsid w:val="00103933"/>
    <w:rsid w:val="00106A73"/>
    <w:rsid w:val="001116DF"/>
    <w:rsid w:val="001123BB"/>
    <w:rsid w:val="0012206C"/>
    <w:rsid w:val="00122CD7"/>
    <w:rsid w:val="00125C2D"/>
    <w:rsid w:val="00131BC7"/>
    <w:rsid w:val="0013467E"/>
    <w:rsid w:val="0013768D"/>
    <w:rsid w:val="00140596"/>
    <w:rsid w:val="001441DB"/>
    <w:rsid w:val="0016328E"/>
    <w:rsid w:val="0016543E"/>
    <w:rsid w:val="00171B76"/>
    <w:rsid w:val="00171B85"/>
    <w:rsid w:val="00174FEA"/>
    <w:rsid w:val="00176B0E"/>
    <w:rsid w:val="00184A07"/>
    <w:rsid w:val="00187BFB"/>
    <w:rsid w:val="00190929"/>
    <w:rsid w:val="00190A0D"/>
    <w:rsid w:val="00193309"/>
    <w:rsid w:val="00194352"/>
    <w:rsid w:val="001951C8"/>
    <w:rsid w:val="001970D3"/>
    <w:rsid w:val="001977E5"/>
    <w:rsid w:val="001A6315"/>
    <w:rsid w:val="001A67B8"/>
    <w:rsid w:val="001A700C"/>
    <w:rsid w:val="001A7BEB"/>
    <w:rsid w:val="001B0E62"/>
    <w:rsid w:val="001B1230"/>
    <w:rsid w:val="001B2302"/>
    <w:rsid w:val="001B48D9"/>
    <w:rsid w:val="001C4068"/>
    <w:rsid w:val="001C42C2"/>
    <w:rsid w:val="001C5246"/>
    <w:rsid w:val="001D078C"/>
    <w:rsid w:val="001D15D2"/>
    <w:rsid w:val="001D4099"/>
    <w:rsid w:val="001D5C48"/>
    <w:rsid w:val="001D6111"/>
    <w:rsid w:val="001E0C1D"/>
    <w:rsid w:val="001E62E2"/>
    <w:rsid w:val="001E657C"/>
    <w:rsid w:val="001E6E40"/>
    <w:rsid w:val="001F358A"/>
    <w:rsid w:val="001F3F92"/>
    <w:rsid w:val="002039E3"/>
    <w:rsid w:val="00204D9A"/>
    <w:rsid w:val="002050AE"/>
    <w:rsid w:val="00210640"/>
    <w:rsid w:val="00210FBD"/>
    <w:rsid w:val="0021300F"/>
    <w:rsid w:val="00213363"/>
    <w:rsid w:val="0021500E"/>
    <w:rsid w:val="002169E4"/>
    <w:rsid w:val="00221223"/>
    <w:rsid w:val="00224537"/>
    <w:rsid w:val="00226EED"/>
    <w:rsid w:val="002330A4"/>
    <w:rsid w:val="00235A59"/>
    <w:rsid w:val="002402CF"/>
    <w:rsid w:val="00241EE8"/>
    <w:rsid w:val="00242BF5"/>
    <w:rsid w:val="00244B44"/>
    <w:rsid w:val="00244FD0"/>
    <w:rsid w:val="002461A6"/>
    <w:rsid w:val="00250EA5"/>
    <w:rsid w:val="00252529"/>
    <w:rsid w:val="00253634"/>
    <w:rsid w:val="0025687B"/>
    <w:rsid w:val="002667D4"/>
    <w:rsid w:val="00270F01"/>
    <w:rsid w:val="00275B70"/>
    <w:rsid w:val="00277569"/>
    <w:rsid w:val="002810AD"/>
    <w:rsid w:val="00281650"/>
    <w:rsid w:val="0028264D"/>
    <w:rsid w:val="00283445"/>
    <w:rsid w:val="00291454"/>
    <w:rsid w:val="00292E68"/>
    <w:rsid w:val="002A1779"/>
    <w:rsid w:val="002A28A6"/>
    <w:rsid w:val="002A451A"/>
    <w:rsid w:val="002A4719"/>
    <w:rsid w:val="002A6B26"/>
    <w:rsid w:val="002A794F"/>
    <w:rsid w:val="002B0E84"/>
    <w:rsid w:val="002B5E29"/>
    <w:rsid w:val="002B692F"/>
    <w:rsid w:val="002C591B"/>
    <w:rsid w:val="002C7002"/>
    <w:rsid w:val="002D0993"/>
    <w:rsid w:val="002D4626"/>
    <w:rsid w:val="002E121A"/>
    <w:rsid w:val="002E3F15"/>
    <w:rsid w:val="002E6BB8"/>
    <w:rsid w:val="002E7044"/>
    <w:rsid w:val="002F0085"/>
    <w:rsid w:val="002F3553"/>
    <w:rsid w:val="002F379E"/>
    <w:rsid w:val="002F4ED6"/>
    <w:rsid w:val="002F4F0F"/>
    <w:rsid w:val="002F533E"/>
    <w:rsid w:val="002F5657"/>
    <w:rsid w:val="002F6A92"/>
    <w:rsid w:val="0030508E"/>
    <w:rsid w:val="00306BAC"/>
    <w:rsid w:val="00307BEB"/>
    <w:rsid w:val="00311169"/>
    <w:rsid w:val="00311BD6"/>
    <w:rsid w:val="00314F2A"/>
    <w:rsid w:val="003155CB"/>
    <w:rsid w:val="0031730C"/>
    <w:rsid w:val="003202FE"/>
    <w:rsid w:val="00321966"/>
    <w:rsid w:val="00325DC7"/>
    <w:rsid w:val="00326074"/>
    <w:rsid w:val="00331F91"/>
    <w:rsid w:val="00334420"/>
    <w:rsid w:val="00334A4B"/>
    <w:rsid w:val="003352BE"/>
    <w:rsid w:val="00337E54"/>
    <w:rsid w:val="00340AA5"/>
    <w:rsid w:val="003446D4"/>
    <w:rsid w:val="00352618"/>
    <w:rsid w:val="00356179"/>
    <w:rsid w:val="0035618E"/>
    <w:rsid w:val="00362176"/>
    <w:rsid w:val="003660DE"/>
    <w:rsid w:val="00366EA3"/>
    <w:rsid w:val="003672CE"/>
    <w:rsid w:val="00367572"/>
    <w:rsid w:val="003715F2"/>
    <w:rsid w:val="00371D51"/>
    <w:rsid w:val="0037351C"/>
    <w:rsid w:val="00375A4B"/>
    <w:rsid w:val="00376358"/>
    <w:rsid w:val="003864A4"/>
    <w:rsid w:val="00392175"/>
    <w:rsid w:val="00393724"/>
    <w:rsid w:val="00395AA2"/>
    <w:rsid w:val="003A444A"/>
    <w:rsid w:val="003A44C9"/>
    <w:rsid w:val="003A49EC"/>
    <w:rsid w:val="003A61E8"/>
    <w:rsid w:val="003A6E84"/>
    <w:rsid w:val="003B37FA"/>
    <w:rsid w:val="003B5732"/>
    <w:rsid w:val="003B636A"/>
    <w:rsid w:val="003C0401"/>
    <w:rsid w:val="003C1E5F"/>
    <w:rsid w:val="003C4B2E"/>
    <w:rsid w:val="003C626F"/>
    <w:rsid w:val="003C6507"/>
    <w:rsid w:val="003D2A9E"/>
    <w:rsid w:val="003E06C7"/>
    <w:rsid w:val="003E29E9"/>
    <w:rsid w:val="003E6455"/>
    <w:rsid w:val="003F0594"/>
    <w:rsid w:val="003F3350"/>
    <w:rsid w:val="003F3A0D"/>
    <w:rsid w:val="003F50C3"/>
    <w:rsid w:val="003F5319"/>
    <w:rsid w:val="004007C0"/>
    <w:rsid w:val="0040255C"/>
    <w:rsid w:val="004169E3"/>
    <w:rsid w:val="00420964"/>
    <w:rsid w:val="00423881"/>
    <w:rsid w:val="00430F6F"/>
    <w:rsid w:val="00433E81"/>
    <w:rsid w:val="0044004F"/>
    <w:rsid w:val="004417E8"/>
    <w:rsid w:val="0044246D"/>
    <w:rsid w:val="00446E1A"/>
    <w:rsid w:val="00451AE8"/>
    <w:rsid w:val="004536BE"/>
    <w:rsid w:val="004558CE"/>
    <w:rsid w:val="0045709A"/>
    <w:rsid w:val="00463CFD"/>
    <w:rsid w:val="00475018"/>
    <w:rsid w:val="00477FAA"/>
    <w:rsid w:val="00483D1D"/>
    <w:rsid w:val="00483F12"/>
    <w:rsid w:val="004846CC"/>
    <w:rsid w:val="00486A44"/>
    <w:rsid w:val="00486F96"/>
    <w:rsid w:val="0049140D"/>
    <w:rsid w:val="0049196D"/>
    <w:rsid w:val="00493704"/>
    <w:rsid w:val="0049396E"/>
    <w:rsid w:val="004A0F50"/>
    <w:rsid w:val="004A2B83"/>
    <w:rsid w:val="004A3629"/>
    <w:rsid w:val="004A5A05"/>
    <w:rsid w:val="004A7774"/>
    <w:rsid w:val="004B392B"/>
    <w:rsid w:val="004C1430"/>
    <w:rsid w:val="004D1C70"/>
    <w:rsid w:val="004D1D41"/>
    <w:rsid w:val="004E03BC"/>
    <w:rsid w:val="004E07E7"/>
    <w:rsid w:val="004E0F1A"/>
    <w:rsid w:val="004E1423"/>
    <w:rsid w:val="004E2E0B"/>
    <w:rsid w:val="004E4245"/>
    <w:rsid w:val="004E5195"/>
    <w:rsid w:val="004F186F"/>
    <w:rsid w:val="004F73B0"/>
    <w:rsid w:val="00500B6C"/>
    <w:rsid w:val="0051038E"/>
    <w:rsid w:val="0051052B"/>
    <w:rsid w:val="0051097D"/>
    <w:rsid w:val="00511E4F"/>
    <w:rsid w:val="00514255"/>
    <w:rsid w:val="00515688"/>
    <w:rsid w:val="00520304"/>
    <w:rsid w:val="0052047D"/>
    <w:rsid w:val="00520916"/>
    <w:rsid w:val="00523D43"/>
    <w:rsid w:val="005276CF"/>
    <w:rsid w:val="00535395"/>
    <w:rsid w:val="00537721"/>
    <w:rsid w:val="005403A1"/>
    <w:rsid w:val="005424B1"/>
    <w:rsid w:val="00544C10"/>
    <w:rsid w:val="0054772B"/>
    <w:rsid w:val="00547B76"/>
    <w:rsid w:val="00550751"/>
    <w:rsid w:val="005532CA"/>
    <w:rsid w:val="005542DD"/>
    <w:rsid w:val="005609F0"/>
    <w:rsid w:val="005675A1"/>
    <w:rsid w:val="00567CFC"/>
    <w:rsid w:val="00572D36"/>
    <w:rsid w:val="0057771F"/>
    <w:rsid w:val="00587E4C"/>
    <w:rsid w:val="0059405F"/>
    <w:rsid w:val="005A11BC"/>
    <w:rsid w:val="005A5E78"/>
    <w:rsid w:val="005A79F0"/>
    <w:rsid w:val="005B032D"/>
    <w:rsid w:val="005B1BE9"/>
    <w:rsid w:val="005B3B0F"/>
    <w:rsid w:val="005C02B6"/>
    <w:rsid w:val="005C0F89"/>
    <w:rsid w:val="005C0FD1"/>
    <w:rsid w:val="005C1241"/>
    <w:rsid w:val="005C3160"/>
    <w:rsid w:val="005C6ED9"/>
    <w:rsid w:val="005C794A"/>
    <w:rsid w:val="005D796D"/>
    <w:rsid w:val="005E1434"/>
    <w:rsid w:val="005E50F5"/>
    <w:rsid w:val="005E51D6"/>
    <w:rsid w:val="005E5A10"/>
    <w:rsid w:val="005E65EA"/>
    <w:rsid w:val="005F5DFD"/>
    <w:rsid w:val="005F7685"/>
    <w:rsid w:val="005F7E83"/>
    <w:rsid w:val="006004DC"/>
    <w:rsid w:val="0060155A"/>
    <w:rsid w:val="00604030"/>
    <w:rsid w:val="006071B9"/>
    <w:rsid w:val="00610350"/>
    <w:rsid w:val="006108B6"/>
    <w:rsid w:val="006116F6"/>
    <w:rsid w:val="00620D31"/>
    <w:rsid w:val="006243F0"/>
    <w:rsid w:val="006253DF"/>
    <w:rsid w:val="006301AD"/>
    <w:rsid w:val="00632CBE"/>
    <w:rsid w:val="00632F63"/>
    <w:rsid w:val="00634F10"/>
    <w:rsid w:val="0063627E"/>
    <w:rsid w:val="00636669"/>
    <w:rsid w:val="006376FE"/>
    <w:rsid w:val="00640571"/>
    <w:rsid w:val="00644117"/>
    <w:rsid w:val="00644841"/>
    <w:rsid w:val="00644EE6"/>
    <w:rsid w:val="00651659"/>
    <w:rsid w:val="006538D9"/>
    <w:rsid w:val="00663A4C"/>
    <w:rsid w:val="00666E54"/>
    <w:rsid w:val="00667CD2"/>
    <w:rsid w:val="00670FB4"/>
    <w:rsid w:val="006726F4"/>
    <w:rsid w:val="0067284B"/>
    <w:rsid w:val="00675267"/>
    <w:rsid w:val="006774C2"/>
    <w:rsid w:val="006832F6"/>
    <w:rsid w:val="006858A0"/>
    <w:rsid w:val="0069022B"/>
    <w:rsid w:val="0069502E"/>
    <w:rsid w:val="00697140"/>
    <w:rsid w:val="006A0B3E"/>
    <w:rsid w:val="006A2900"/>
    <w:rsid w:val="006B3E8E"/>
    <w:rsid w:val="006B525E"/>
    <w:rsid w:val="006C07EC"/>
    <w:rsid w:val="006C0A78"/>
    <w:rsid w:val="006C666C"/>
    <w:rsid w:val="006D76E3"/>
    <w:rsid w:val="006E0B82"/>
    <w:rsid w:val="006E315A"/>
    <w:rsid w:val="006E7E95"/>
    <w:rsid w:val="006F3EE6"/>
    <w:rsid w:val="006F41C3"/>
    <w:rsid w:val="006F4228"/>
    <w:rsid w:val="007015E6"/>
    <w:rsid w:val="007033DD"/>
    <w:rsid w:val="00705928"/>
    <w:rsid w:val="00706DF7"/>
    <w:rsid w:val="00711534"/>
    <w:rsid w:val="00721B04"/>
    <w:rsid w:val="00722784"/>
    <w:rsid w:val="007325A2"/>
    <w:rsid w:val="00732E10"/>
    <w:rsid w:val="0073754C"/>
    <w:rsid w:val="007430E1"/>
    <w:rsid w:val="00743E6B"/>
    <w:rsid w:val="00746AE1"/>
    <w:rsid w:val="0075047A"/>
    <w:rsid w:val="007509C9"/>
    <w:rsid w:val="00752C68"/>
    <w:rsid w:val="00753C0F"/>
    <w:rsid w:val="0076202A"/>
    <w:rsid w:val="007637FD"/>
    <w:rsid w:val="00763D44"/>
    <w:rsid w:val="0076469A"/>
    <w:rsid w:val="0077345C"/>
    <w:rsid w:val="00773916"/>
    <w:rsid w:val="00775680"/>
    <w:rsid w:val="0077616A"/>
    <w:rsid w:val="00776E17"/>
    <w:rsid w:val="00777A17"/>
    <w:rsid w:val="007841D8"/>
    <w:rsid w:val="007870D2"/>
    <w:rsid w:val="00791502"/>
    <w:rsid w:val="0079199E"/>
    <w:rsid w:val="00793001"/>
    <w:rsid w:val="00797B80"/>
    <w:rsid w:val="00797BB9"/>
    <w:rsid w:val="00797EF2"/>
    <w:rsid w:val="007A085A"/>
    <w:rsid w:val="007A2621"/>
    <w:rsid w:val="007A62A9"/>
    <w:rsid w:val="007B1500"/>
    <w:rsid w:val="007B22D6"/>
    <w:rsid w:val="007B6315"/>
    <w:rsid w:val="007C051C"/>
    <w:rsid w:val="007C0B02"/>
    <w:rsid w:val="007C2F10"/>
    <w:rsid w:val="007C5F6E"/>
    <w:rsid w:val="007D0157"/>
    <w:rsid w:val="007E01E2"/>
    <w:rsid w:val="007E4555"/>
    <w:rsid w:val="007E58C9"/>
    <w:rsid w:val="007E7BDA"/>
    <w:rsid w:val="007F1CBF"/>
    <w:rsid w:val="007F4E9C"/>
    <w:rsid w:val="007F7F92"/>
    <w:rsid w:val="00801F2B"/>
    <w:rsid w:val="0080240C"/>
    <w:rsid w:val="0080694F"/>
    <w:rsid w:val="008071E0"/>
    <w:rsid w:val="008200FC"/>
    <w:rsid w:val="008209A0"/>
    <w:rsid w:val="00820C43"/>
    <w:rsid w:val="00822321"/>
    <w:rsid w:val="00830E08"/>
    <w:rsid w:val="0084405B"/>
    <w:rsid w:val="00844A86"/>
    <w:rsid w:val="00846E30"/>
    <w:rsid w:val="00850E81"/>
    <w:rsid w:val="00854D8B"/>
    <w:rsid w:val="00857979"/>
    <w:rsid w:val="00867C8A"/>
    <w:rsid w:val="00870075"/>
    <w:rsid w:val="0087317D"/>
    <w:rsid w:val="00875E4A"/>
    <w:rsid w:val="00876B7C"/>
    <w:rsid w:val="0087789F"/>
    <w:rsid w:val="00880FFE"/>
    <w:rsid w:val="0088112B"/>
    <w:rsid w:val="008833DA"/>
    <w:rsid w:val="00891498"/>
    <w:rsid w:val="00891842"/>
    <w:rsid w:val="00892576"/>
    <w:rsid w:val="00893281"/>
    <w:rsid w:val="008955EF"/>
    <w:rsid w:val="0089583A"/>
    <w:rsid w:val="008A052F"/>
    <w:rsid w:val="008A3993"/>
    <w:rsid w:val="008A4001"/>
    <w:rsid w:val="008A4044"/>
    <w:rsid w:val="008A4298"/>
    <w:rsid w:val="008B0A83"/>
    <w:rsid w:val="008B6954"/>
    <w:rsid w:val="008C0ECF"/>
    <w:rsid w:val="008C5B70"/>
    <w:rsid w:val="008C68A7"/>
    <w:rsid w:val="008D4F40"/>
    <w:rsid w:val="008E0F71"/>
    <w:rsid w:val="008E27A1"/>
    <w:rsid w:val="008E2E20"/>
    <w:rsid w:val="008E464C"/>
    <w:rsid w:val="008E665F"/>
    <w:rsid w:val="008F0DC2"/>
    <w:rsid w:val="008F7E2A"/>
    <w:rsid w:val="00901B71"/>
    <w:rsid w:val="00902AB9"/>
    <w:rsid w:val="00902CD4"/>
    <w:rsid w:val="00903291"/>
    <w:rsid w:val="00911DB7"/>
    <w:rsid w:val="00912B67"/>
    <w:rsid w:val="00912C58"/>
    <w:rsid w:val="009165C7"/>
    <w:rsid w:val="009175EE"/>
    <w:rsid w:val="00921918"/>
    <w:rsid w:val="00923CCE"/>
    <w:rsid w:val="00932298"/>
    <w:rsid w:val="00932C3E"/>
    <w:rsid w:val="00941F5C"/>
    <w:rsid w:val="0094364B"/>
    <w:rsid w:val="00943A95"/>
    <w:rsid w:val="00943EC5"/>
    <w:rsid w:val="00944DAF"/>
    <w:rsid w:val="00946BD4"/>
    <w:rsid w:val="0095128E"/>
    <w:rsid w:val="00954381"/>
    <w:rsid w:val="009569DA"/>
    <w:rsid w:val="0095792E"/>
    <w:rsid w:val="0096010B"/>
    <w:rsid w:val="009623A0"/>
    <w:rsid w:val="00964229"/>
    <w:rsid w:val="00966214"/>
    <w:rsid w:val="009663B8"/>
    <w:rsid w:val="009664CB"/>
    <w:rsid w:val="00971510"/>
    <w:rsid w:val="00972484"/>
    <w:rsid w:val="00972C96"/>
    <w:rsid w:val="00972E70"/>
    <w:rsid w:val="0097386D"/>
    <w:rsid w:val="009746E8"/>
    <w:rsid w:val="00976864"/>
    <w:rsid w:val="0098146D"/>
    <w:rsid w:val="00981F45"/>
    <w:rsid w:val="0098671A"/>
    <w:rsid w:val="00987A8F"/>
    <w:rsid w:val="00987BBB"/>
    <w:rsid w:val="00990B38"/>
    <w:rsid w:val="0099341A"/>
    <w:rsid w:val="009A0FBA"/>
    <w:rsid w:val="009A1FC1"/>
    <w:rsid w:val="009A7C58"/>
    <w:rsid w:val="009B498C"/>
    <w:rsid w:val="009C05B4"/>
    <w:rsid w:val="009C075F"/>
    <w:rsid w:val="009C704F"/>
    <w:rsid w:val="009D0120"/>
    <w:rsid w:val="009D07DB"/>
    <w:rsid w:val="009D09F7"/>
    <w:rsid w:val="009D2395"/>
    <w:rsid w:val="009D30BD"/>
    <w:rsid w:val="009D57F8"/>
    <w:rsid w:val="009D6D95"/>
    <w:rsid w:val="009E0B49"/>
    <w:rsid w:val="009E1659"/>
    <w:rsid w:val="009E1B99"/>
    <w:rsid w:val="009E65BD"/>
    <w:rsid w:val="00A05C6A"/>
    <w:rsid w:val="00A138B1"/>
    <w:rsid w:val="00A15F6C"/>
    <w:rsid w:val="00A15FE7"/>
    <w:rsid w:val="00A226F3"/>
    <w:rsid w:val="00A24682"/>
    <w:rsid w:val="00A24FD3"/>
    <w:rsid w:val="00A26529"/>
    <w:rsid w:val="00A315C0"/>
    <w:rsid w:val="00A31FCF"/>
    <w:rsid w:val="00A4029E"/>
    <w:rsid w:val="00A40BC5"/>
    <w:rsid w:val="00A47CBD"/>
    <w:rsid w:val="00A53C0B"/>
    <w:rsid w:val="00A54783"/>
    <w:rsid w:val="00A54D50"/>
    <w:rsid w:val="00A563D5"/>
    <w:rsid w:val="00A6178C"/>
    <w:rsid w:val="00A713F6"/>
    <w:rsid w:val="00A733F3"/>
    <w:rsid w:val="00A75BD9"/>
    <w:rsid w:val="00A75E71"/>
    <w:rsid w:val="00A75ED6"/>
    <w:rsid w:val="00A7618A"/>
    <w:rsid w:val="00A832E3"/>
    <w:rsid w:val="00A83611"/>
    <w:rsid w:val="00A86D5C"/>
    <w:rsid w:val="00A907A8"/>
    <w:rsid w:val="00A918DE"/>
    <w:rsid w:val="00A91EEA"/>
    <w:rsid w:val="00A9407D"/>
    <w:rsid w:val="00A952B0"/>
    <w:rsid w:val="00A96785"/>
    <w:rsid w:val="00A97FE7"/>
    <w:rsid w:val="00AA028F"/>
    <w:rsid w:val="00AA2CE8"/>
    <w:rsid w:val="00AA49FE"/>
    <w:rsid w:val="00AA6EF2"/>
    <w:rsid w:val="00AB03F4"/>
    <w:rsid w:val="00AB0BE5"/>
    <w:rsid w:val="00AD202B"/>
    <w:rsid w:val="00AD296D"/>
    <w:rsid w:val="00AD67C7"/>
    <w:rsid w:val="00AE440F"/>
    <w:rsid w:val="00AE6597"/>
    <w:rsid w:val="00AF0CCB"/>
    <w:rsid w:val="00AF4737"/>
    <w:rsid w:val="00B0183F"/>
    <w:rsid w:val="00B120CC"/>
    <w:rsid w:val="00B15912"/>
    <w:rsid w:val="00B16DCF"/>
    <w:rsid w:val="00B1740D"/>
    <w:rsid w:val="00B22CE2"/>
    <w:rsid w:val="00B26541"/>
    <w:rsid w:val="00B3321B"/>
    <w:rsid w:val="00B34D23"/>
    <w:rsid w:val="00B3516C"/>
    <w:rsid w:val="00B35A8F"/>
    <w:rsid w:val="00B43A97"/>
    <w:rsid w:val="00B44BC1"/>
    <w:rsid w:val="00B44F15"/>
    <w:rsid w:val="00B45FF9"/>
    <w:rsid w:val="00B46F33"/>
    <w:rsid w:val="00B505C0"/>
    <w:rsid w:val="00B53093"/>
    <w:rsid w:val="00B547F0"/>
    <w:rsid w:val="00B61C31"/>
    <w:rsid w:val="00B66BF7"/>
    <w:rsid w:val="00B672A2"/>
    <w:rsid w:val="00B71E69"/>
    <w:rsid w:val="00B74753"/>
    <w:rsid w:val="00B75C9C"/>
    <w:rsid w:val="00B76737"/>
    <w:rsid w:val="00B81DEA"/>
    <w:rsid w:val="00B83A1A"/>
    <w:rsid w:val="00B845E4"/>
    <w:rsid w:val="00B8772E"/>
    <w:rsid w:val="00B877DD"/>
    <w:rsid w:val="00B91ED1"/>
    <w:rsid w:val="00B92EEF"/>
    <w:rsid w:val="00B93046"/>
    <w:rsid w:val="00B9456D"/>
    <w:rsid w:val="00B9766E"/>
    <w:rsid w:val="00BA55D0"/>
    <w:rsid w:val="00BA5D37"/>
    <w:rsid w:val="00BB02D0"/>
    <w:rsid w:val="00BB1146"/>
    <w:rsid w:val="00BC13B1"/>
    <w:rsid w:val="00BC2D18"/>
    <w:rsid w:val="00BD0529"/>
    <w:rsid w:val="00BD080B"/>
    <w:rsid w:val="00BE257B"/>
    <w:rsid w:val="00BE56C4"/>
    <w:rsid w:val="00BF01E2"/>
    <w:rsid w:val="00BF220A"/>
    <w:rsid w:val="00BF3CB1"/>
    <w:rsid w:val="00C00CCE"/>
    <w:rsid w:val="00C04AC3"/>
    <w:rsid w:val="00C0720F"/>
    <w:rsid w:val="00C12507"/>
    <w:rsid w:val="00C1675A"/>
    <w:rsid w:val="00C16BDD"/>
    <w:rsid w:val="00C21DC3"/>
    <w:rsid w:val="00C23EBD"/>
    <w:rsid w:val="00C26330"/>
    <w:rsid w:val="00C2732C"/>
    <w:rsid w:val="00C43180"/>
    <w:rsid w:val="00C46836"/>
    <w:rsid w:val="00C4782D"/>
    <w:rsid w:val="00C5069E"/>
    <w:rsid w:val="00C51E50"/>
    <w:rsid w:val="00C62DE7"/>
    <w:rsid w:val="00C665CF"/>
    <w:rsid w:val="00C72E67"/>
    <w:rsid w:val="00C736D6"/>
    <w:rsid w:val="00C821DC"/>
    <w:rsid w:val="00C84D74"/>
    <w:rsid w:val="00C87319"/>
    <w:rsid w:val="00C937EA"/>
    <w:rsid w:val="00C96A30"/>
    <w:rsid w:val="00CA1EE2"/>
    <w:rsid w:val="00CA2696"/>
    <w:rsid w:val="00CA3F10"/>
    <w:rsid w:val="00CB07B3"/>
    <w:rsid w:val="00CB387D"/>
    <w:rsid w:val="00CB7A25"/>
    <w:rsid w:val="00CC2A36"/>
    <w:rsid w:val="00CC5A8C"/>
    <w:rsid w:val="00CC5F6E"/>
    <w:rsid w:val="00CC69BE"/>
    <w:rsid w:val="00CD2FA7"/>
    <w:rsid w:val="00CD3B3E"/>
    <w:rsid w:val="00CD7D22"/>
    <w:rsid w:val="00CE4511"/>
    <w:rsid w:val="00CE6F08"/>
    <w:rsid w:val="00CF0CA9"/>
    <w:rsid w:val="00CF2B86"/>
    <w:rsid w:val="00CF6208"/>
    <w:rsid w:val="00D024B5"/>
    <w:rsid w:val="00D041DA"/>
    <w:rsid w:val="00D06351"/>
    <w:rsid w:val="00D10885"/>
    <w:rsid w:val="00D13074"/>
    <w:rsid w:val="00D20433"/>
    <w:rsid w:val="00D211D6"/>
    <w:rsid w:val="00D2308A"/>
    <w:rsid w:val="00D257DA"/>
    <w:rsid w:val="00D269D6"/>
    <w:rsid w:val="00D30138"/>
    <w:rsid w:val="00D306E8"/>
    <w:rsid w:val="00D31973"/>
    <w:rsid w:val="00D33C67"/>
    <w:rsid w:val="00D34FAE"/>
    <w:rsid w:val="00D351EB"/>
    <w:rsid w:val="00D36BC4"/>
    <w:rsid w:val="00D43EFC"/>
    <w:rsid w:val="00D44203"/>
    <w:rsid w:val="00D4592F"/>
    <w:rsid w:val="00D511DE"/>
    <w:rsid w:val="00D512E6"/>
    <w:rsid w:val="00D53A97"/>
    <w:rsid w:val="00D54D09"/>
    <w:rsid w:val="00D551D7"/>
    <w:rsid w:val="00D626EE"/>
    <w:rsid w:val="00D80A2A"/>
    <w:rsid w:val="00D81178"/>
    <w:rsid w:val="00D81EC9"/>
    <w:rsid w:val="00D83231"/>
    <w:rsid w:val="00D8358E"/>
    <w:rsid w:val="00D83E53"/>
    <w:rsid w:val="00D878BC"/>
    <w:rsid w:val="00D938B9"/>
    <w:rsid w:val="00D9461F"/>
    <w:rsid w:val="00DA3465"/>
    <w:rsid w:val="00DA41AB"/>
    <w:rsid w:val="00DA4B07"/>
    <w:rsid w:val="00DA6C8D"/>
    <w:rsid w:val="00DA6FEB"/>
    <w:rsid w:val="00DA7424"/>
    <w:rsid w:val="00DB51D8"/>
    <w:rsid w:val="00DB5465"/>
    <w:rsid w:val="00DC1B92"/>
    <w:rsid w:val="00DC533D"/>
    <w:rsid w:val="00DC6400"/>
    <w:rsid w:val="00DD23CA"/>
    <w:rsid w:val="00DD54C9"/>
    <w:rsid w:val="00DD7DAB"/>
    <w:rsid w:val="00DF05DA"/>
    <w:rsid w:val="00DF1CE4"/>
    <w:rsid w:val="00DF3A40"/>
    <w:rsid w:val="00DF3E4A"/>
    <w:rsid w:val="00DF6981"/>
    <w:rsid w:val="00E007B1"/>
    <w:rsid w:val="00E00C07"/>
    <w:rsid w:val="00E01BF8"/>
    <w:rsid w:val="00E0220E"/>
    <w:rsid w:val="00E02310"/>
    <w:rsid w:val="00E04045"/>
    <w:rsid w:val="00E053E2"/>
    <w:rsid w:val="00E06201"/>
    <w:rsid w:val="00E06458"/>
    <w:rsid w:val="00E0746A"/>
    <w:rsid w:val="00E07C4A"/>
    <w:rsid w:val="00E10C09"/>
    <w:rsid w:val="00E11452"/>
    <w:rsid w:val="00E4142F"/>
    <w:rsid w:val="00E418B1"/>
    <w:rsid w:val="00E43A1A"/>
    <w:rsid w:val="00E522A9"/>
    <w:rsid w:val="00E61547"/>
    <w:rsid w:val="00E6606D"/>
    <w:rsid w:val="00E73B41"/>
    <w:rsid w:val="00E7425C"/>
    <w:rsid w:val="00E765EE"/>
    <w:rsid w:val="00E856EE"/>
    <w:rsid w:val="00E86BD3"/>
    <w:rsid w:val="00E907AF"/>
    <w:rsid w:val="00E970AE"/>
    <w:rsid w:val="00E970B1"/>
    <w:rsid w:val="00E974FE"/>
    <w:rsid w:val="00EA0AED"/>
    <w:rsid w:val="00EA1359"/>
    <w:rsid w:val="00EA4548"/>
    <w:rsid w:val="00EA5926"/>
    <w:rsid w:val="00EB0B80"/>
    <w:rsid w:val="00EB29F8"/>
    <w:rsid w:val="00EB3078"/>
    <w:rsid w:val="00EB411A"/>
    <w:rsid w:val="00EC0449"/>
    <w:rsid w:val="00EC2021"/>
    <w:rsid w:val="00ED0C9C"/>
    <w:rsid w:val="00ED2849"/>
    <w:rsid w:val="00ED6919"/>
    <w:rsid w:val="00ED698A"/>
    <w:rsid w:val="00ED7D0E"/>
    <w:rsid w:val="00EE610E"/>
    <w:rsid w:val="00EE6A74"/>
    <w:rsid w:val="00EE6AF9"/>
    <w:rsid w:val="00EF4511"/>
    <w:rsid w:val="00EF6720"/>
    <w:rsid w:val="00EF712F"/>
    <w:rsid w:val="00F03A5C"/>
    <w:rsid w:val="00F03CF2"/>
    <w:rsid w:val="00F05E11"/>
    <w:rsid w:val="00F1071A"/>
    <w:rsid w:val="00F13EC9"/>
    <w:rsid w:val="00F1433F"/>
    <w:rsid w:val="00F21DCB"/>
    <w:rsid w:val="00F22D26"/>
    <w:rsid w:val="00F25DD6"/>
    <w:rsid w:val="00F3079C"/>
    <w:rsid w:val="00F30A00"/>
    <w:rsid w:val="00F34392"/>
    <w:rsid w:val="00F34ED8"/>
    <w:rsid w:val="00F35602"/>
    <w:rsid w:val="00F3570A"/>
    <w:rsid w:val="00F40876"/>
    <w:rsid w:val="00F41110"/>
    <w:rsid w:val="00F447DA"/>
    <w:rsid w:val="00F46D2C"/>
    <w:rsid w:val="00F52C95"/>
    <w:rsid w:val="00F55C57"/>
    <w:rsid w:val="00F62C75"/>
    <w:rsid w:val="00F6312A"/>
    <w:rsid w:val="00F63A5F"/>
    <w:rsid w:val="00F763B4"/>
    <w:rsid w:val="00F8031A"/>
    <w:rsid w:val="00F8263A"/>
    <w:rsid w:val="00F83ABB"/>
    <w:rsid w:val="00F910E1"/>
    <w:rsid w:val="00F9235B"/>
    <w:rsid w:val="00F963BC"/>
    <w:rsid w:val="00F96545"/>
    <w:rsid w:val="00F97099"/>
    <w:rsid w:val="00F97493"/>
    <w:rsid w:val="00F979DB"/>
    <w:rsid w:val="00FA240D"/>
    <w:rsid w:val="00FA687C"/>
    <w:rsid w:val="00FA7A2C"/>
    <w:rsid w:val="00FB6822"/>
    <w:rsid w:val="00FC14A2"/>
    <w:rsid w:val="00FC51D4"/>
    <w:rsid w:val="00FC540A"/>
    <w:rsid w:val="00FD0966"/>
    <w:rsid w:val="00FD16B6"/>
    <w:rsid w:val="00FD43BA"/>
    <w:rsid w:val="00FD4C11"/>
    <w:rsid w:val="00FD506E"/>
    <w:rsid w:val="00FE0A6B"/>
    <w:rsid w:val="00FE2072"/>
    <w:rsid w:val="00FE4784"/>
    <w:rsid w:val="00FE581C"/>
    <w:rsid w:val="00FE6F73"/>
    <w:rsid w:val="00FF1068"/>
    <w:rsid w:val="00FF52A6"/>
    <w:rsid w:val="00FF54E6"/>
    <w:rsid w:val="03FB8FB1"/>
    <w:rsid w:val="05C67590"/>
    <w:rsid w:val="0A622615"/>
    <w:rsid w:val="0B7E83E5"/>
    <w:rsid w:val="0C01F2CD"/>
    <w:rsid w:val="13A818AE"/>
    <w:rsid w:val="14B3648E"/>
    <w:rsid w:val="16482B97"/>
    <w:rsid w:val="18ECD4B9"/>
    <w:rsid w:val="19FA1D6D"/>
    <w:rsid w:val="1E4B00E3"/>
    <w:rsid w:val="21FD0259"/>
    <w:rsid w:val="224E759A"/>
    <w:rsid w:val="22717CE4"/>
    <w:rsid w:val="2B89DB8B"/>
    <w:rsid w:val="2D8E15CB"/>
    <w:rsid w:val="30DB0D2D"/>
    <w:rsid w:val="32685198"/>
    <w:rsid w:val="327B9C9E"/>
    <w:rsid w:val="34EB7E09"/>
    <w:rsid w:val="3B7E964B"/>
    <w:rsid w:val="3D4210C1"/>
    <w:rsid w:val="3D700DC2"/>
    <w:rsid w:val="44021C5F"/>
    <w:rsid w:val="44AAB8F6"/>
    <w:rsid w:val="45E7206F"/>
    <w:rsid w:val="4B1CD74A"/>
    <w:rsid w:val="4B3E248F"/>
    <w:rsid w:val="4B786B87"/>
    <w:rsid w:val="4CA632CE"/>
    <w:rsid w:val="4D7C3341"/>
    <w:rsid w:val="4EA1F892"/>
    <w:rsid w:val="4EE96F88"/>
    <w:rsid w:val="4F284B70"/>
    <w:rsid w:val="4F60153C"/>
    <w:rsid w:val="4FA5B140"/>
    <w:rsid w:val="5210F98D"/>
    <w:rsid w:val="52DFF3B3"/>
    <w:rsid w:val="58921D90"/>
    <w:rsid w:val="593E4C70"/>
    <w:rsid w:val="59879323"/>
    <w:rsid w:val="59E006EC"/>
    <w:rsid w:val="5D672BBB"/>
    <w:rsid w:val="5FE7F713"/>
    <w:rsid w:val="63E8AC41"/>
    <w:rsid w:val="69F6A93F"/>
    <w:rsid w:val="6AA54889"/>
    <w:rsid w:val="6B4067AF"/>
    <w:rsid w:val="6B5043EB"/>
    <w:rsid w:val="6B66C8DC"/>
    <w:rsid w:val="717F9085"/>
    <w:rsid w:val="746320B0"/>
    <w:rsid w:val="764EFA39"/>
    <w:rsid w:val="7D8DB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805FA"/>
  <w15:chartTrackingRefBased/>
  <w15:docId w15:val="{F583B389-2ED3-4F19-9D39-0F11CAAC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80" w:line="26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74"/>
  </w:style>
  <w:style w:type="paragraph" w:styleId="Heading1">
    <w:name w:val="heading 1"/>
    <w:basedOn w:val="Normal"/>
    <w:next w:val="Normal"/>
    <w:link w:val="Heading1Char"/>
    <w:qFormat/>
    <w:rsid w:val="00187BFB"/>
    <w:pPr>
      <w:numPr>
        <w:numId w:val="5"/>
      </w:numPr>
      <w:spacing w:before="280" w:after="140"/>
      <w:outlineLvl w:val="0"/>
    </w:pPr>
    <w:rPr>
      <w:rFonts w:asciiTheme="majorHAnsi" w:hAnsiTheme="majorHAnsi"/>
      <w:b/>
      <w:bCs/>
      <w:sz w:val="28"/>
    </w:rPr>
  </w:style>
  <w:style w:type="paragraph" w:styleId="Heading2">
    <w:name w:val="heading 2"/>
    <w:basedOn w:val="Normal"/>
    <w:next w:val="Normal"/>
    <w:link w:val="Heading2Char"/>
    <w:qFormat/>
    <w:rsid w:val="00F35602"/>
    <w:pPr>
      <w:keepNext/>
      <w:keepLines/>
      <w:numPr>
        <w:ilvl w:val="1"/>
        <w:numId w:val="5"/>
      </w:numPr>
      <w:spacing w:after="0"/>
      <w:outlineLvl w:val="1"/>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376358"/>
    <w:pPr>
      <w:tabs>
        <w:tab w:val="center" w:pos="4513"/>
        <w:tab w:val="right" w:pos="9026"/>
      </w:tabs>
      <w:spacing w:after="0" w:line="247" w:lineRule="auto"/>
    </w:pPr>
    <w:rPr>
      <w:rFonts w:asciiTheme="majorHAnsi" w:hAnsiTheme="majorHAnsi"/>
      <w:sz w:val="18"/>
      <w:szCs w:val="18"/>
    </w:rPr>
  </w:style>
  <w:style w:type="character" w:customStyle="1" w:styleId="HeaderChar">
    <w:name w:val="Header Char"/>
    <w:basedOn w:val="DefaultParagraphFont"/>
    <w:link w:val="Header"/>
    <w:rsid w:val="00EE6A74"/>
    <w:rPr>
      <w:rFonts w:asciiTheme="majorHAnsi" w:hAnsiTheme="majorHAnsi"/>
      <w:sz w:val="18"/>
      <w:szCs w:val="18"/>
    </w:rPr>
  </w:style>
  <w:style w:type="paragraph" w:styleId="Footer">
    <w:name w:val="footer"/>
    <w:basedOn w:val="Normal"/>
    <w:link w:val="FooterChar"/>
    <w:rsid w:val="00A24FD3"/>
    <w:pPr>
      <w:tabs>
        <w:tab w:val="center" w:pos="4513"/>
        <w:tab w:val="right" w:pos="9026"/>
      </w:tabs>
      <w:spacing w:after="0" w:line="240" w:lineRule="auto"/>
    </w:pPr>
    <w:rPr>
      <w:rFonts w:asciiTheme="majorHAnsi" w:hAnsiTheme="majorHAnsi"/>
      <w:sz w:val="18"/>
      <w:szCs w:val="18"/>
    </w:rPr>
  </w:style>
  <w:style w:type="character" w:customStyle="1" w:styleId="FooterChar">
    <w:name w:val="Footer Char"/>
    <w:basedOn w:val="DefaultParagraphFont"/>
    <w:link w:val="Footer"/>
    <w:rsid w:val="003C0401"/>
    <w:rPr>
      <w:rFonts w:asciiTheme="majorHAnsi" w:hAnsiTheme="majorHAnsi"/>
      <w:sz w:val="18"/>
      <w:szCs w:val="18"/>
    </w:rPr>
  </w:style>
  <w:style w:type="table" w:styleId="TableGrid">
    <w:name w:val="Table Grid"/>
    <w:basedOn w:val="TableNormal"/>
    <w:uiPriority w:val="39"/>
    <w:rsid w:val="00314F2A"/>
    <w:pPr>
      <w:spacing w:after="0" w:line="240" w:lineRule="auto"/>
    </w:pPr>
    <w:tblPr>
      <w:tblCellMar>
        <w:left w:w="0" w:type="dxa"/>
        <w:right w:w="0" w:type="dxa"/>
      </w:tblCellMar>
    </w:tblPr>
  </w:style>
  <w:style w:type="paragraph" w:styleId="Title">
    <w:name w:val="Title"/>
    <w:basedOn w:val="Normal"/>
    <w:next w:val="Normal"/>
    <w:link w:val="TitleChar"/>
    <w:qFormat/>
    <w:rsid w:val="00042A23"/>
    <w:pPr>
      <w:spacing w:after="380" w:line="214" w:lineRule="auto"/>
      <w:contextualSpacing/>
    </w:pPr>
    <w:rPr>
      <w:rFonts w:asciiTheme="majorHAnsi" w:eastAsiaTheme="majorEastAsia" w:hAnsiTheme="majorHAnsi" w:cstheme="majorBidi"/>
      <w:b/>
      <w:bCs/>
      <w:kern w:val="28"/>
      <w:sz w:val="56"/>
      <w:szCs w:val="56"/>
    </w:rPr>
  </w:style>
  <w:style w:type="character" w:customStyle="1" w:styleId="TitleChar">
    <w:name w:val="Title Char"/>
    <w:basedOn w:val="DefaultParagraphFont"/>
    <w:link w:val="Title"/>
    <w:rsid w:val="00042A23"/>
    <w:rPr>
      <w:rFonts w:asciiTheme="majorHAnsi" w:eastAsiaTheme="majorEastAsia" w:hAnsiTheme="majorHAnsi" w:cstheme="majorBidi"/>
      <w:b/>
      <w:bCs/>
      <w:kern w:val="28"/>
      <w:sz w:val="56"/>
      <w:szCs w:val="56"/>
    </w:rPr>
  </w:style>
  <w:style w:type="paragraph" w:styleId="Subtitle">
    <w:name w:val="Subtitle"/>
    <w:basedOn w:val="Normal"/>
    <w:next w:val="Normal"/>
    <w:link w:val="SubtitleChar"/>
    <w:qFormat/>
    <w:rsid w:val="003E6455"/>
    <w:pPr>
      <w:numPr>
        <w:ilvl w:val="1"/>
      </w:numPr>
      <w:spacing w:before="380" w:after="0" w:line="250" w:lineRule="auto"/>
    </w:pPr>
    <w:rPr>
      <w:rFonts w:eastAsiaTheme="minorEastAsia"/>
      <w:sz w:val="36"/>
      <w:szCs w:val="36"/>
    </w:rPr>
  </w:style>
  <w:style w:type="character" w:customStyle="1" w:styleId="SubtitleChar">
    <w:name w:val="Subtitle Char"/>
    <w:basedOn w:val="DefaultParagraphFont"/>
    <w:link w:val="Subtitle"/>
    <w:rsid w:val="00F8263A"/>
    <w:rPr>
      <w:rFonts w:eastAsiaTheme="minorEastAsia"/>
      <w:sz w:val="36"/>
      <w:szCs w:val="36"/>
    </w:rPr>
  </w:style>
  <w:style w:type="paragraph" w:styleId="Date">
    <w:name w:val="Date"/>
    <w:basedOn w:val="Normal"/>
    <w:next w:val="Normal"/>
    <w:link w:val="DateChar"/>
    <w:qFormat/>
    <w:rsid w:val="009E0B49"/>
    <w:pPr>
      <w:pBdr>
        <w:bottom w:val="single" w:sz="6" w:space="22" w:color="auto"/>
      </w:pBdr>
      <w:spacing w:after="0" w:line="252" w:lineRule="auto"/>
    </w:pPr>
    <w:rPr>
      <w:sz w:val="36"/>
      <w:szCs w:val="36"/>
    </w:rPr>
  </w:style>
  <w:style w:type="character" w:customStyle="1" w:styleId="DateChar">
    <w:name w:val="Date Char"/>
    <w:basedOn w:val="DefaultParagraphFont"/>
    <w:link w:val="Date"/>
    <w:rsid w:val="009E0B49"/>
    <w:rPr>
      <w:sz w:val="36"/>
      <w:szCs w:val="36"/>
    </w:rPr>
  </w:style>
  <w:style w:type="character" w:customStyle="1" w:styleId="Heading1Char">
    <w:name w:val="Heading 1 Char"/>
    <w:basedOn w:val="DefaultParagraphFont"/>
    <w:link w:val="Heading1"/>
    <w:rsid w:val="00187BFB"/>
    <w:rPr>
      <w:rFonts w:asciiTheme="majorHAnsi" w:hAnsiTheme="majorHAnsi"/>
      <w:b/>
      <w:bCs/>
      <w:sz w:val="28"/>
    </w:rPr>
  </w:style>
  <w:style w:type="paragraph" w:styleId="ListBullet">
    <w:name w:val="List Bullet"/>
    <w:basedOn w:val="Normal"/>
    <w:qFormat/>
    <w:rsid w:val="000664DF"/>
    <w:pPr>
      <w:numPr>
        <w:numId w:val="4"/>
      </w:numPr>
      <w:spacing w:before="280" w:after="0"/>
    </w:pPr>
  </w:style>
  <w:style w:type="paragraph" w:styleId="ListBullet2">
    <w:name w:val="List Bullet 2"/>
    <w:basedOn w:val="Normal"/>
    <w:qFormat/>
    <w:rsid w:val="000664DF"/>
    <w:pPr>
      <w:numPr>
        <w:ilvl w:val="1"/>
        <w:numId w:val="4"/>
      </w:numPr>
      <w:spacing w:after="0"/>
      <w:contextualSpacing/>
    </w:pPr>
  </w:style>
  <w:style w:type="paragraph" w:styleId="ListBullet3">
    <w:name w:val="List Bullet 3"/>
    <w:basedOn w:val="Normal"/>
    <w:qFormat/>
    <w:rsid w:val="000664DF"/>
    <w:pPr>
      <w:numPr>
        <w:ilvl w:val="2"/>
        <w:numId w:val="4"/>
      </w:numPr>
      <w:spacing w:after="0"/>
      <w:contextualSpacing/>
    </w:pPr>
  </w:style>
  <w:style w:type="paragraph" w:styleId="FootnoteText">
    <w:name w:val="footnote text"/>
    <w:basedOn w:val="Normal"/>
    <w:link w:val="FootnoteTextChar"/>
    <w:uiPriority w:val="99"/>
    <w:qFormat/>
    <w:rsid w:val="005A79F0"/>
    <w:pPr>
      <w:tabs>
        <w:tab w:val="left" w:pos="454"/>
      </w:tabs>
      <w:spacing w:after="0" w:line="247" w:lineRule="auto"/>
      <w:ind w:left="454" w:hanging="454"/>
      <w:contextualSpacing/>
    </w:pPr>
    <w:rPr>
      <w:rFonts w:asciiTheme="majorHAnsi" w:hAnsiTheme="majorHAnsi"/>
      <w:sz w:val="18"/>
      <w:szCs w:val="20"/>
    </w:rPr>
  </w:style>
  <w:style w:type="character" w:customStyle="1" w:styleId="FootnoteTextChar">
    <w:name w:val="Footnote Text Char"/>
    <w:basedOn w:val="DefaultParagraphFont"/>
    <w:link w:val="FootnoteText"/>
    <w:uiPriority w:val="99"/>
    <w:rsid w:val="005A79F0"/>
    <w:rPr>
      <w:rFonts w:asciiTheme="majorHAnsi" w:hAnsiTheme="majorHAnsi"/>
      <w:sz w:val="18"/>
      <w:szCs w:val="20"/>
    </w:rPr>
  </w:style>
  <w:style w:type="character" w:styleId="FootnoteReference">
    <w:name w:val="footnote reference"/>
    <w:basedOn w:val="DefaultParagraphFont"/>
    <w:uiPriority w:val="99"/>
    <w:rsid w:val="00F05E11"/>
    <w:rPr>
      <w:vertAlign w:val="superscript"/>
    </w:rPr>
  </w:style>
  <w:style w:type="character" w:styleId="Strong">
    <w:name w:val="Strong"/>
    <w:basedOn w:val="DefaultParagraphFont"/>
    <w:qFormat/>
    <w:rsid w:val="00376358"/>
    <w:rPr>
      <w:b/>
      <w:bCs/>
    </w:rPr>
  </w:style>
  <w:style w:type="character" w:customStyle="1" w:styleId="Heading2Char">
    <w:name w:val="Heading 2 Char"/>
    <w:basedOn w:val="DefaultParagraphFont"/>
    <w:link w:val="Heading2"/>
    <w:rsid w:val="00F35602"/>
    <w:rPr>
      <w:rFonts w:asciiTheme="majorHAnsi" w:eastAsiaTheme="majorEastAsia" w:hAnsiTheme="majorHAnsi" w:cstheme="majorBidi"/>
      <w:b/>
    </w:rPr>
  </w:style>
  <w:style w:type="paragraph" w:styleId="NoSpacing">
    <w:name w:val="No Spacing"/>
    <w:qFormat/>
    <w:rsid w:val="00F8263A"/>
    <w:pPr>
      <w:spacing w:after="0"/>
    </w:pPr>
  </w:style>
  <w:style w:type="paragraph" w:styleId="Caption">
    <w:name w:val="caption"/>
    <w:basedOn w:val="Normal"/>
    <w:next w:val="Normal"/>
    <w:qFormat/>
    <w:rsid w:val="00F8263A"/>
    <w:pPr>
      <w:spacing w:before="140" w:after="0" w:line="247" w:lineRule="auto"/>
    </w:pPr>
    <w:rPr>
      <w:rFonts w:asciiTheme="majorHAnsi" w:hAnsiTheme="majorHAnsi"/>
      <w:sz w:val="18"/>
      <w:szCs w:val="18"/>
    </w:rPr>
  </w:style>
  <w:style w:type="paragraph" w:customStyle="1" w:styleId="Picture">
    <w:name w:val="Picture"/>
    <w:basedOn w:val="NoSpacing"/>
    <w:qFormat/>
    <w:rsid w:val="00EC2021"/>
    <w:pPr>
      <w:tabs>
        <w:tab w:val="left" w:pos="4763"/>
      </w:tabs>
    </w:pPr>
    <w:rPr>
      <w:noProof/>
    </w:rPr>
  </w:style>
  <w:style w:type="paragraph" w:styleId="ListParagraph">
    <w:name w:val="List Paragraph"/>
    <w:basedOn w:val="Normal"/>
    <w:uiPriority w:val="34"/>
    <w:qFormat/>
    <w:rsid w:val="00AD202B"/>
    <w:pPr>
      <w:ind w:left="227" w:hanging="227"/>
      <w:contextualSpacing/>
    </w:pPr>
  </w:style>
  <w:style w:type="paragraph" w:customStyle="1" w:styleId="ListLetter">
    <w:name w:val="List Letter"/>
    <w:basedOn w:val="ListParagraph"/>
    <w:qFormat/>
    <w:rsid w:val="00CB387D"/>
    <w:pPr>
      <w:numPr>
        <w:numId w:val="7"/>
      </w:numPr>
    </w:pPr>
    <w:rPr>
      <w:b/>
      <w:bCs/>
    </w:rPr>
  </w:style>
  <w:style w:type="paragraph" w:styleId="Quote">
    <w:name w:val="Quote"/>
    <w:basedOn w:val="Normal"/>
    <w:next w:val="Normal"/>
    <w:link w:val="QuoteChar"/>
    <w:qFormat/>
    <w:rsid w:val="00966214"/>
    <w:rPr>
      <w:i/>
      <w:iCs/>
      <w:sz w:val="36"/>
      <w:szCs w:val="36"/>
    </w:rPr>
  </w:style>
  <w:style w:type="character" w:customStyle="1" w:styleId="QuoteChar">
    <w:name w:val="Quote Char"/>
    <w:basedOn w:val="DefaultParagraphFont"/>
    <w:link w:val="Quote"/>
    <w:rsid w:val="00EE6A74"/>
    <w:rPr>
      <w:i/>
      <w:iCs/>
      <w:sz w:val="36"/>
      <w:szCs w:val="36"/>
    </w:rPr>
  </w:style>
  <w:style w:type="paragraph" w:customStyle="1" w:styleId="ChartText">
    <w:name w:val="Chart Text"/>
    <w:basedOn w:val="Caption"/>
    <w:qFormat/>
    <w:rsid w:val="00F62C75"/>
    <w:pPr>
      <w:spacing w:before="0"/>
    </w:pPr>
  </w:style>
  <w:style w:type="paragraph" w:customStyle="1" w:styleId="TableHeading">
    <w:name w:val="Table Heading"/>
    <w:basedOn w:val="Normal"/>
    <w:qFormat/>
    <w:rsid w:val="00D351EB"/>
    <w:pPr>
      <w:spacing w:before="280" w:after="140" w:line="247" w:lineRule="auto"/>
      <w:contextualSpacing/>
    </w:pPr>
    <w:rPr>
      <w:rFonts w:asciiTheme="majorHAnsi" w:hAnsiTheme="majorHAnsi"/>
      <w:b/>
      <w:bCs/>
      <w:sz w:val="18"/>
      <w:szCs w:val="18"/>
    </w:rPr>
  </w:style>
  <w:style w:type="table" w:customStyle="1" w:styleId="TCPATABLE01">
    <w:name w:val="TCPA_TABLE_01"/>
    <w:basedOn w:val="TableNormal"/>
    <w:uiPriority w:val="99"/>
    <w:rsid w:val="002A4719"/>
    <w:pPr>
      <w:spacing w:after="0" w:line="247" w:lineRule="auto"/>
    </w:pPr>
    <w:rPr>
      <w:rFonts w:asciiTheme="majorHAnsi" w:hAnsiTheme="majorHAnsi"/>
      <w:sz w:val="18"/>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line="247" w:lineRule="auto"/>
      </w:pPr>
      <w:rPr>
        <w:b/>
      </w:rPr>
    </w:tblStylePr>
    <w:tblStylePr w:type="lastRow">
      <w:rPr>
        <w:b/>
      </w:rPr>
      <w:tblPr/>
      <w:tcPr>
        <w:tcBorders>
          <w:top w:val="single" w:sz="8" w:space="0" w:color="auto"/>
          <w:left w:val="nil"/>
          <w:bottom w:val="single" w:sz="8" w:space="0" w:color="auto"/>
          <w:right w:val="nil"/>
          <w:insideH w:val="single" w:sz="4" w:space="0" w:color="auto"/>
          <w:insideV w:val="single" w:sz="4" w:space="0" w:color="auto"/>
        </w:tcBorders>
        <w:shd w:val="clear" w:color="auto" w:fill="FFFFFF" w:themeFill="background1"/>
      </w:tcPr>
    </w:tblStylePr>
    <w:tblStylePr w:type="firstCol">
      <w:tblPr/>
      <w:tcPr>
        <w:shd w:val="clear" w:color="auto" w:fill="EEF4F5" w:themeFill="background2"/>
      </w:tcPr>
    </w:tblStylePr>
    <w:tblStylePr w:type="lastCol">
      <w:tblPr/>
      <w:tcPr>
        <w:shd w:val="clear" w:color="auto" w:fill="EEF4F5" w:themeFill="background2"/>
      </w:tcPr>
    </w:tblStylePr>
    <w:tblStylePr w:type="band1Vert">
      <w:tblPr/>
      <w:tcPr>
        <w:shd w:val="clear" w:color="auto" w:fill="EEF4F5" w:themeFill="background2"/>
      </w:tcPr>
    </w:tblStylePr>
    <w:tblStylePr w:type="band1Horz">
      <w:tblPr/>
      <w:tcPr>
        <w:shd w:val="clear" w:color="auto" w:fill="EEF4F5" w:themeFill="background2"/>
      </w:tcPr>
    </w:tblStylePr>
  </w:style>
  <w:style w:type="character" w:styleId="Hyperlink">
    <w:name w:val="Hyperlink"/>
    <w:basedOn w:val="DefaultParagraphFont"/>
    <w:uiPriority w:val="99"/>
    <w:rsid w:val="002B692F"/>
    <w:rPr>
      <w:color w:val="000000" w:themeColor="hyperlink"/>
      <w:u w:val="single"/>
    </w:rPr>
  </w:style>
  <w:style w:type="character" w:styleId="UnresolvedMention">
    <w:name w:val="Unresolved Mention"/>
    <w:basedOn w:val="DefaultParagraphFont"/>
    <w:uiPriority w:val="99"/>
    <w:semiHidden/>
    <w:unhideWhenUsed/>
    <w:rsid w:val="002B692F"/>
    <w:rPr>
      <w:color w:val="605E5C"/>
      <w:shd w:val="clear" w:color="auto" w:fill="E1DFDD"/>
    </w:rPr>
  </w:style>
  <w:style w:type="paragraph" w:styleId="TOC1">
    <w:name w:val="toc 1"/>
    <w:basedOn w:val="Normal"/>
    <w:next w:val="Normal"/>
    <w:autoRedefine/>
    <w:uiPriority w:val="39"/>
    <w:unhideWhenUsed/>
    <w:qFormat/>
    <w:rsid w:val="000524DB"/>
    <w:pPr>
      <w:tabs>
        <w:tab w:val="left" w:pos="454"/>
        <w:tab w:val="right" w:pos="9299"/>
      </w:tabs>
      <w:spacing w:before="280" w:after="0"/>
    </w:pPr>
    <w:rPr>
      <w:rFonts w:asciiTheme="majorHAnsi" w:hAnsiTheme="majorHAnsi"/>
      <w:b/>
    </w:rPr>
  </w:style>
  <w:style w:type="paragraph" w:styleId="TOC2">
    <w:name w:val="toc 2"/>
    <w:basedOn w:val="Normal"/>
    <w:next w:val="Normal"/>
    <w:autoRedefine/>
    <w:uiPriority w:val="39"/>
    <w:unhideWhenUsed/>
    <w:qFormat/>
    <w:rsid w:val="000524DB"/>
    <w:pPr>
      <w:tabs>
        <w:tab w:val="left" w:pos="454"/>
        <w:tab w:val="right" w:pos="9299"/>
      </w:tabs>
      <w:contextualSpacing/>
    </w:pPr>
    <w:rPr>
      <w:rFonts w:asciiTheme="majorHAnsi" w:hAnsiTheme="majorHAnsi"/>
    </w:rPr>
  </w:style>
  <w:style w:type="paragraph" w:styleId="EndnoteText">
    <w:name w:val="endnote text"/>
    <w:basedOn w:val="Normal"/>
    <w:link w:val="EndnoteTextChar"/>
    <w:uiPriority w:val="99"/>
    <w:semiHidden/>
    <w:unhideWhenUsed/>
    <w:rsid w:val="00187BFB"/>
    <w:pPr>
      <w:spacing w:after="0" w:line="240" w:lineRule="auto"/>
    </w:pPr>
    <w:rPr>
      <w:rFonts w:ascii="Univers" w:hAnsi="Univers"/>
      <w:sz w:val="20"/>
      <w:szCs w:val="20"/>
    </w:rPr>
  </w:style>
  <w:style w:type="character" w:customStyle="1" w:styleId="EndnoteTextChar">
    <w:name w:val="Endnote Text Char"/>
    <w:basedOn w:val="DefaultParagraphFont"/>
    <w:link w:val="EndnoteText"/>
    <w:uiPriority w:val="99"/>
    <w:semiHidden/>
    <w:rsid w:val="00187BFB"/>
    <w:rPr>
      <w:rFonts w:ascii="Univers" w:hAnsi="Univers"/>
      <w:sz w:val="20"/>
      <w:szCs w:val="20"/>
    </w:rPr>
  </w:style>
  <w:style w:type="character" w:styleId="EndnoteReference">
    <w:name w:val="endnote reference"/>
    <w:basedOn w:val="DefaultParagraphFont"/>
    <w:uiPriority w:val="99"/>
    <w:semiHidden/>
    <w:unhideWhenUsed/>
    <w:rsid w:val="00187BFB"/>
    <w:rPr>
      <w:vertAlign w:val="superscript"/>
    </w:rPr>
  </w:style>
  <w:style w:type="character" w:styleId="CommentReference">
    <w:name w:val="annotation reference"/>
    <w:basedOn w:val="DefaultParagraphFont"/>
    <w:uiPriority w:val="99"/>
    <w:semiHidden/>
    <w:unhideWhenUsed/>
    <w:rsid w:val="00187BFB"/>
    <w:rPr>
      <w:sz w:val="16"/>
      <w:szCs w:val="16"/>
    </w:rPr>
  </w:style>
  <w:style w:type="paragraph" w:styleId="CommentText">
    <w:name w:val="annotation text"/>
    <w:basedOn w:val="Normal"/>
    <w:link w:val="CommentTextChar"/>
    <w:uiPriority w:val="99"/>
    <w:unhideWhenUsed/>
    <w:rsid w:val="00187BFB"/>
    <w:pPr>
      <w:spacing w:after="160" w:line="240" w:lineRule="auto"/>
    </w:pPr>
    <w:rPr>
      <w:rFonts w:ascii="Univers" w:hAnsi="Univers"/>
      <w:sz w:val="20"/>
      <w:szCs w:val="20"/>
    </w:rPr>
  </w:style>
  <w:style w:type="character" w:customStyle="1" w:styleId="CommentTextChar">
    <w:name w:val="Comment Text Char"/>
    <w:basedOn w:val="DefaultParagraphFont"/>
    <w:link w:val="CommentText"/>
    <w:uiPriority w:val="99"/>
    <w:rsid w:val="00187BFB"/>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D511DE"/>
    <w:pPr>
      <w:spacing w:after="280"/>
    </w:pPr>
    <w:rPr>
      <w:rFonts w:asciiTheme="minorHAnsi" w:hAnsiTheme="minorHAnsi"/>
      <w:b/>
      <w:bCs/>
    </w:rPr>
  </w:style>
  <w:style w:type="character" w:customStyle="1" w:styleId="CommentSubjectChar">
    <w:name w:val="Comment Subject Char"/>
    <w:basedOn w:val="CommentTextChar"/>
    <w:link w:val="CommentSubject"/>
    <w:uiPriority w:val="99"/>
    <w:semiHidden/>
    <w:rsid w:val="00D511DE"/>
    <w:rPr>
      <w:rFonts w:ascii="Univers" w:hAnsi="Univers"/>
      <w:b/>
      <w:bCs/>
      <w:sz w:val="20"/>
      <w:szCs w:val="20"/>
    </w:rPr>
  </w:style>
  <w:style w:type="paragraph" w:styleId="Revision">
    <w:name w:val="Revision"/>
    <w:hidden/>
    <w:uiPriority w:val="99"/>
    <w:semiHidden/>
    <w:rsid w:val="009E65BD"/>
    <w:pPr>
      <w:spacing w:after="0" w:line="240" w:lineRule="auto"/>
    </w:pPr>
  </w:style>
  <w:style w:type="character" w:styleId="FollowedHyperlink">
    <w:name w:val="FollowedHyperlink"/>
    <w:basedOn w:val="DefaultParagraphFont"/>
    <w:rsid w:val="00FE581C"/>
    <w:rPr>
      <w:color w:val="000000" w:themeColor="followedHyperlink"/>
      <w:u w:val="single"/>
    </w:rPr>
  </w:style>
  <w:style w:type="paragraph" w:customStyle="1" w:styleId="footnotedescription">
    <w:name w:val="footnote description"/>
    <w:next w:val="Normal"/>
    <w:link w:val="footnotedescriptionChar"/>
    <w:hidden/>
    <w:rsid w:val="00F763B4"/>
    <w:pPr>
      <w:spacing w:after="9" w:line="259" w:lineRule="auto"/>
      <w:ind w:left="537"/>
    </w:pPr>
    <w:rPr>
      <w:rFonts w:ascii="Arial" w:eastAsia="Arial" w:hAnsi="Arial" w:cs="Arial"/>
      <w:color w:val="000000"/>
      <w:kern w:val="2"/>
      <w:sz w:val="16"/>
      <w:szCs w:val="24"/>
      <w:u w:val="single" w:color="000000"/>
      <w:lang w:eastAsia="en-GB"/>
      <w14:ligatures w14:val="standardContextual"/>
    </w:rPr>
  </w:style>
  <w:style w:type="character" w:customStyle="1" w:styleId="footnotedescriptionChar">
    <w:name w:val="footnote description Char"/>
    <w:link w:val="footnotedescription"/>
    <w:rsid w:val="00F763B4"/>
    <w:rPr>
      <w:rFonts w:ascii="Arial" w:eastAsia="Arial" w:hAnsi="Arial" w:cs="Arial"/>
      <w:color w:val="000000"/>
      <w:kern w:val="2"/>
      <w:sz w:val="16"/>
      <w:szCs w:val="24"/>
      <w:u w:val="single" w:color="000000"/>
      <w:lang w:eastAsia="en-GB"/>
      <w14:ligatures w14:val="standardContextual"/>
    </w:rPr>
  </w:style>
  <w:style w:type="character" w:customStyle="1" w:styleId="footnotemark">
    <w:name w:val="footnote mark"/>
    <w:hidden/>
    <w:rsid w:val="00F763B4"/>
    <w:rPr>
      <w:rFonts w:ascii="Arial" w:eastAsia="Arial" w:hAnsi="Arial" w:cs="Arial"/>
      <w:color w:val="262626"/>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pa.org.uk/permitted-develop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rdsbusiness.parliament.uk/?businessPaperDate=2024-12-1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902220/Research_report_quality_PDR_homes.pdf" TargetMode="External"/><Relationship Id="rId21" Type="http://schemas.openxmlformats.org/officeDocument/2006/relationships/hyperlink" Target="http://www.tcpa.org.uk/resources/permitted-development-housing-and-health-a-review-of-national-policy-and-regulations" TargetMode="External"/><Relationship Id="rId42" Type="http://schemas.openxmlformats.org/officeDocument/2006/relationships/hyperlink" Target="https://insidecroydon.com/2019/08/23/residents-living-in-fear-of-fire-in-three-council-run-housing-blocks/" TargetMode="External"/><Relationship Id="rId47" Type="http://schemas.openxmlformats.org/officeDocument/2006/relationships/hyperlink" Target="https://insidecroydon.com/2019/08/23/residents-living-in-fear-of-fire-in-three-council-run-housing-blocks/" TargetMode="External"/><Relationship Id="rId63" Type="http://schemas.openxmlformats.org/officeDocument/2006/relationships/hyperlink" Target="https://www.gov.uk/government/statistical-data-sets/live-tables-on-net-supply-of-housing" TargetMode="External"/><Relationship Id="rId68" Type="http://schemas.openxmlformats.org/officeDocument/2006/relationships/hyperlink" Target="https://www.gov.uk/government/statistical-data-sets/live-tables-on-net-supply-of-housing" TargetMode="External"/><Relationship Id="rId16" Type="http://schemas.openxmlformats.org/officeDocument/2006/relationships/hyperlink" Target="http://www.tcpa.org.uk/resources/permitted-development-housing-and-health-a-review-of-national-policy-and-regulations" TargetMode="External"/><Relationship Id="rId11" Type="http://schemas.openxmlformats.org/officeDocument/2006/relationships/hyperlink" Target="http://www.tcpa.org.uk/resources/permitted-development-housing-and-health-a-review-of-national-policy-and-regulations" TargetMode="External"/><Relationship Id="rId24" Type="http://schemas.openxmlformats.org/officeDocument/2006/relationships/hyperlink" Target="http://www.tcpa.org.uk/resources/permitted-development-housing-and-health-a-review-of-national-policy-and-regulations" TargetMode="External"/><Relationship Id="rId32" Type="http://schemas.openxmlformats.org/officeDocument/2006/relationships/hyperlink" Target="http://www.tcpa.org.uk/these-are-homes-photobook" TargetMode="External"/><Relationship Id="rId37" Type="http://schemas.openxmlformats.org/officeDocument/2006/relationships/hyperlink" Target="https://insidecroydon.com/2019/08/23/residents-living-in-fear-of-fire-in-three-council-run-housing-blocks/" TargetMode="External"/><Relationship Id="rId40" Type="http://schemas.openxmlformats.org/officeDocument/2006/relationships/hyperlink" Target="https://insidecroydon.com/2019/08/23/residents-living-in-fear-of-fire-in-three-council-run-housing-blocks/" TargetMode="External"/><Relationship Id="rId45" Type="http://schemas.openxmlformats.org/officeDocument/2006/relationships/hyperlink" Target="https://insidecroydon.com/2019/08/23/residents-living-in-fear-of-fire-in-three-council-run-housing-blocks/" TargetMode="External"/><Relationship Id="rId53" Type="http://schemas.openxmlformats.org/officeDocument/2006/relationships/hyperlink" Target="https://insidecroydon.com/2019/08/23/residents-living-in-fear-of-fire-in-three-council-run-housing-blocks/" TargetMode="External"/><Relationship Id="rId58" Type="http://schemas.openxmlformats.org/officeDocument/2006/relationships/hyperlink" Target="https://insidecroydon.com/2019/08/23/residents-living-in-fear-of-fire-in-three-council-run-housing-blocks/" TargetMode="External"/><Relationship Id="rId66" Type="http://schemas.openxmlformats.org/officeDocument/2006/relationships/hyperlink" Target="https://www.gov.uk/government/statistical-data-sets/live-tables-on-net-supply-of-housing" TargetMode="External"/><Relationship Id="rId74" Type="http://schemas.openxmlformats.org/officeDocument/2006/relationships/hyperlink" Target="https://www.gov.uk/government/statistical-data-sets/live-tables-on-net-supply-of-housing" TargetMode="External"/><Relationship Id="rId79" Type="http://schemas.openxmlformats.org/officeDocument/2006/relationships/hyperlink" Target="https://www.gov.uk/government/statistical-data-sets/live-tables-on-net-supply-of-housing" TargetMode="External"/><Relationship Id="rId5" Type="http://schemas.openxmlformats.org/officeDocument/2006/relationships/hyperlink" Target="http://www.tcpa.org.uk/resources/permitted-development-housing-and-health-a-review-of-national-policy-and-regulations" TargetMode="External"/><Relationship Id="rId61" Type="http://schemas.openxmlformats.org/officeDocument/2006/relationships/hyperlink" Target="https://www.uclpdhousing.co.uk/" TargetMode="External"/><Relationship Id="rId19" Type="http://schemas.openxmlformats.org/officeDocument/2006/relationships/hyperlink" Target="http://www.tcpa.org.uk/resources/permitted-development-housing-and-health-a-review-of-national-policy-and-regulations" TargetMode="External"/><Relationship Id="rId14" Type="http://schemas.openxmlformats.org/officeDocument/2006/relationships/hyperlink" Target="http://www.tcpa.org.uk/resources/permitted-development-housing-and-health-a-review-of-national-policy-and-regulations" TargetMode="External"/><Relationship Id="rId22" Type="http://schemas.openxmlformats.org/officeDocument/2006/relationships/hyperlink" Target="http://www.tcpa.org.uk/resources/permitted-development-housing-and-health-a-review-of-national-policy-and-regulations" TargetMode="External"/><Relationship Id="rId27" Type="http://schemas.openxmlformats.org/officeDocument/2006/relationships/hyperlink" Target="http://www.tcpa.org.uk/these-are-homes-photobook" TargetMode="External"/><Relationship Id="rId30" Type="http://schemas.openxmlformats.org/officeDocument/2006/relationships/hyperlink" Target="http://www.tcpa.org.uk/these-are-homes-photobook" TargetMode="External"/><Relationship Id="rId35" Type="http://schemas.openxmlformats.org/officeDocument/2006/relationships/hyperlink" Target="https://insidecroydon.com/2019/08/23/residents-living-in-fear-of-fire-in-three-council-run-housing-blocks/" TargetMode="External"/><Relationship Id="rId43" Type="http://schemas.openxmlformats.org/officeDocument/2006/relationships/hyperlink" Target="https://insidecroydon.com/2019/08/23/residents-living-in-fear-of-fire-in-three-council-run-housing-blocks/" TargetMode="External"/><Relationship Id="rId48" Type="http://schemas.openxmlformats.org/officeDocument/2006/relationships/hyperlink" Target="https://insidecroydon.com/2019/08/23/residents-living-in-fear-of-fire-in-three-council-run-housing-blocks/" TargetMode="External"/><Relationship Id="rId56" Type="http://schemas.openxmlformats.org/officeDocument/2006/relationships/hyperlink" Target="https://insidecroydon.com/2019/08/23/residents-living-in-fear-of-fire-in-three-council-run-housing-blocks/" TargetMode="External"/><Relationship Id="rId64" Type="http://schemas.openxmlformats.org/officeDocument/2006/relationships/hyperlink" Target="https://www.gov.uk/government/statistical-data-sets/live-tables-on-net-supply-of-housing" TargetMode="External"/><Relationship Id="rId69" Type="http://schemas.openxmlformats.org/officeDocument/2006/relationships/hyperlink" Target="https://www.gov.uk/government/statistical-data-sets/live-tables-on-net-supply-of-housing" TargetMode="External"/><Relationship Id="rId77" Type="http://schemas.openxmlformats.org/officeDocument/2006/relationships/hyperlink" Target="https://www.gov.uk/government/statistical-data-sets/live-tables-on-net-supply-of-housing" TargetMode="External"/><Relationship Id="rId8" Type="http://schemas.openxmlformats.org/officeDocument/2006/relationships/hyperlink" Target="http://www.tcpa.org.uk/resources/permitted-development-housing-and-health-a-review-of-national-policy-and-regulations" TargetMode="External"/><Relationship Id="rId51" Type="http://schemas.openxmlformats.org/officeDocument/2006/relationships/hyperlink" Target="https://insidecroydon.com/2019/08/23/residents-living-in-fear-of-fire-in-three-council-run-housing-blocks/" TargetMode="External"/><Relationship Id="rId72" Type="http://schemas.openxmlformats.org/officeDocument/2006/relationships/hyperlink" Target="https://www.gov.uk/government/statistical-data-sets/live-tables-on-net-supply-of-housing" TargetMode="External"/><Relationship Id="rId3" Type="http://schemas.openxmlformats.org/officeDocument/2006/relationships/hyperlink" Target="http://www.tcpa.org.uk/resources/permitted-development-housing-and-health-a-review-of-national-policy-and-regulations" TargetMode="External"/><Relationship Id="rId12" Type="http://schemas.openxmlformats.org/officeDocument/2006/relationships/hyperlink" Target="http://www.tcpa.org.uk/resources/permitted-development-housing-and-health-a-review-of-national-policy-and-regulations" TargetMode="External"/><Relationship Id="rId17" Type="http://schemas.openxmlformats.org/officeDocument/2006/relationships/hyperlink" Target="http://www.tcpa.org.uk/resources/permitted-development-housing-and-health-a-review-of-national-policy-and-regulations" TargetMode="External"/><Relationship Id="rId25" Type="http://schemas.openxmlformats.org/officeDocument/2006/relationships/hyperlink" Target="https://assets.publishing.service.gov.uk/government/uploads/system/uploads/attachment_data/file/902220/Research_report_quality_PDR_homes.pdf" TargetMode="External"/><Relationship Id="rId33" Type="http://schemas.openxmlformats.org/officeDocument/2006/relationships/hyperlink" Target="http://www.tcpa.org.uk/these-are-homes-photobook" TargetMode="External"/><Relationship Id="rId38" Type="http://schemas.openxmlformats.org/officeDocument/2006/relationships/hyperlink" Target="https://insidecroydon.com/2019/08/23/residents-living-in-fear-of-fire-in-three-council-run-housing-blocks/" TargetMode="External"/><Relationship Id="rId46" Type="http://schemas.openxmlformats.org/officeDocument/2006/relationships/hyperlink" Target="https://insidecroydon.com/2019/08/23/residents-living-in-fear-of-fire-in-three-council-run-housing-blocks/" TargetMode="External"/><Relationship Id="rId59" Type="http://schemas.openxmlformats.org/officeDocument/2006/relationships/hyperlink" Target="https://api.semanticscholar.org/CorpusID:268624299" TargetMode="External"/><Relationship Id="rId67" Type="http://schemas.openxmlformats.org/officeDocument/2006/relationships/hyperlink" Target="https://www.gov.uk/government/statistical-data-sets/live-tables-on-net-supply-of-housing" TargetMode="External"/><Relationship Id="rId20" Type="http://schemas.openxmlformats.org/officeDocument/2006/relationships/hyperlink" Target="http://www.tcpa.org.uk/resources/permitted-development-housing-and-health-a-review-of-national-policy-and-regulations" TargetMode="External"/><Relationship Id="rId41" Type="http://schemas.openxmlformats.org/officeDocument/2006/relationships/hyperlink" Target="https://insidecroydon.com/2019/08/23/residents-living-in-fear-of-fire-in-three-council-run-housing-blocks/" TargetMode="External"/><Relationship Id="rId54" Type="http://schemas.openxmlformats.org/officeDocument/2006/relationships/hyperlink" Target="https://insidecroydon.com/2019/08/23/residents-living-in-fear-of-fire-in-three-council-run-housing-blocks/" TargetMode="External"/><Relationship Id="rId62" Type="http://schemas.openxmlformats.org/officeDocument/2006/relationships/hyperlink" Target="https://www.gov.uk/government/statistical-data-sets/live-tables-on-net-supply-of-housing" TargetMode="External"/><Relationship Id="rId70" Type="http://schemas.openxmlformats.org/officeDocument/2006/relationships/hyperlink" Target="https://www.gov.uk/government/statistical-data-sets/live-tables-on-net-supply-of-housing" TargetMode="External"/><Relationship Id="rId75" Type="http://schemas.openxmlformats.org/officeDocument/2006/relationships/hyperlink" Target="https://www.gov.uk/government/statistical-data-sets/live-tables-on-net-supply-of-housing" TargetMode="External"/><Relationship Id="rId1" Type="http://schemas.openxmlformats.org/officeDocument/2006/relationships/hyperlink" Target="http://www.tcpa.org.uk/resources/permitted-development-housing-and-health-a-review-of-national-policy-and-regulations" TargetMode="External"/><Relationship Id="rId6" Type="http://schemas.openxmlformats.org/officeDocument/2006/relationships/hyperlink" Target="http://www.tcpa.org.uk/resources/permitted-development-housing-and-health-a-review-of-national-policy-and-regulations" TargetMode="External"/><Relationship Id="rId15" Type="http://schemas.openxmlformats.org/officeDocument/2006/relationships/hyperlink" Target="http://www.tcpa.org.uk/resources/permitted-development-housing-and-health-a-review-of-national-policy-and-regulations" TargetMode="External"/><Relationship Id="rId23" Type="http://schemas.openxmlformats.org/officeDocument/2006/relationships/hyperlink" Target="http://www.tcpa.org.uk/resources/permitted-development-housing-and-health-a-review-of-national-policy-and-regulations" TargetMode="External"/><Relationship Id="rId28" Type="http://schemas.openxmlformats.org/officeDocument/2006/relationships/hyperlink" Target="http://www.tcpa.org.uk/these-are-homes-photobook" TargetMode="External"/><Relationship Id="rId36" Type="http://schemas.openxmlformats.org/officeDocument/2006/relationships/hyperlink" Target="https://insidecroydon.com/2019/08/23/residents-living-in-fear-of-fire-in-three-council-run-housing-blocks/" TargetMode="External"/><Relationship Id="rId49" Type="http://schemas.openxmlformats.org/officeDocument/2006/relationships/hyperlink" Target="https://insidecroydon.com/2019/08/23/residents-living-in-fear-of-fire-in-three-council-run-housing-blocks/" TargetMode="External"/><Relationship Id="rId57" Type="http://schemas.openxmlformats.org/officeDocument/2006/relationships/hyperlink" Target="https://insidecroydon.com/2019/08/23/residents-living-in-fear-of-fire-in-three-council-run-housing-blocks/" TargetMode="External"/><Relationship Id="rId10" Type="http://schemas.openxmlformats.org/officeDocument/2006/relationships/hyperlink" Target="http://www.tcpa.org.uk/resources/permitted-development-housing-and-health-a-review-of-national-policy-and-regulations" TargetMode="External"/><Relationship Id="rId31" Type="http://schemas.openxmlformats.org/officeDocument/2006/relationships/hyperlink" Target="http://www.tcpa.org.uk/these-are-homes-photobook" TargetMode="External"/><Relationship Id="rId44" Type="http://schemas.openxmlformats.org/officeDocument/2006/relationships/hyperlink" Target="https://insidecroydon.com/2019/08/23/residents-living-in-fear-of-fire-in-three-council-run-housing-blocks/" TargetMode="External"/><Relationship Id="rId52" Type="http://schemas.openxmlformats.org/officeDocument/2006/relationships/hyperlink" Target="https://insidecroydon.com/2019/08/23/residents-living-in-fear-of-fire-in-three-council-run-housing-blocks/" TargetMode="External"/><Relationship Id="rId60" Type="http://schemas.openxmlformats.org/officeDocument/2006/relationships/hyperlink" Target="https://api.semanticscholar.org/CorpusID:268624299" TargetMode="External"/><Relationship Id="rId65" Type="http://schemas.openxmlformats.org/officeDocument/2006/relationships/hyperlink" Target="https://www.gov.uk/government/statistical-data-sets/live-tables-on-net-supply-of-housing" TargetMode="External"/><Relationship Id="rId73" Type="http://schemas.openxmlformats.org/officeDocument/2006/relationships/hyperlink" Target="https://www.gov.uk/government/statistical-data-sets/live-tables-on-net-supply-of-housing" TargetMode="External"/><Relationship Id="rId78" Type="http://schemas.openxmlformats.org/officeDocument/2006/relationships/hyperlink" Target="https://www.gov.uk/government/statistical-data-sets/live-tables-on-net-supply-of-housing" TargetMode="External"/><Relationship Id="rId4" Type="http://schemas.openxmlformats.org/officeDocument/2006/relationships/hyperlink" Target="http://www.tcpa.org.uk/resources/permitted-development-housing-and-health-a-review-of-national-policy-and-regulations" TargetMode="External"/><Relationship Id="rId9" Type="http://schemas.openxmlformats.org/officeDocument/2006/relationships/hyperlink" Target="http://www.tcpa.org.uk/resources/permitted-development-housing-and-health-a-review-of-national-policy-and-regulations" TargetMode="External"/><Relationship Id="rId13" Type="http://schemas.openxmlformats.org/officeDocument/2006/relationships/hyperlink" Target="http://www.tcpa.org.uk/resources/permitted-development-housing-and-health-a-review-of-national-policy-and-regulations" TargetMode="External"/><Relationship Id="rId18" Type="http://schemas.openxmlformats.org/officeDocument/2006/relationships/hyperlink" Target="http://www.tcpa.org.uk/resources/permitted-development-housing-and-health-a-review-of-national-policy-and-regulations" TargetMode="External"/><Relationship Id="rId39" Type="http://schemas.openxmlformats.org/officeDocument/2006/relationships/hyperlink" Target="https://insidecroydon.com/2019/08/23/residents-living-in-fear-of-fire-in-three-council-run-housing-blocks/" TargetMode="External"/><Relationship Id="rId34" Type="http://schemas.openxmlformats.org/officeDocument/2006/relationships/hyperlink" Target="http://www.tcpa.org.uk/these-are-homes-photobook" TargetMode="External"/><Relationship Id="rId50" Type="http://schemas.openxmlformats.org/officeDocument/2006/relationships/hyperlink" Target="https://insidecroydon.com/2019/08/23/residents-living-in-fear-of-fire-in-three-council-run-housing-blocks/" TargetMode="External"/><Relationship Id="rId55" Type="http://schemas.openxmlformats.org/officeDocument/2006/relationships/hyperlink" Target="https://insidecroydon.com/2019/08/23/residents-living-in-fear-of-fire-in-three-council-run-housing-blocks/" TargetMode="External"/><Relationship Id="rId76" Type="http://schemas.openxmlformats.org/officeDocument/2006/relationships/hyperlink" Target="https://www.gov.uk/government/statistical-data-sets/live-tables-on-net-supply-of-housing" TargetMode="External"/><Relationship Id="rId7" Type="http://schemas.openxmlformats.org/officeDocument/2006/relationships/hyperlink" Target="http://www.tcpa.org.uk/resources/permitted-development-housing-and-health-a-review-of-national-policy-and-regulations" TargetMode="External"/><Relationship Id="rId71" Type="http://schemas.openxmlformats.org/officeDocument/2006/relationships/hyperlink" Target="https://www.gov.uk/government/statistical-data-sets/live-tables-on-net-supply-of-housing" TargetMode="External"/><Relationship Id="rId2" Type="http://schemas.openxmlformats.org/officeDocument/2006/relationships/hyperlink" Target="http://www.tcpa.org.uk/resources/permitted-development-housing-and-health-a-review-of-national-policy-and-regulations" TargetMode="External"/><Relationship Id="rId29" Type="http://schemas.openxmlformats.org/officeDocument/2006/relationships/hyperlink" Target="http://www.tcpa.org.uk/these-are-homes-photoboo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CPA_COLORS_2022">
      <a:dk1>
        <a:sysClr val="windowText" lastClr="000000"/>
      </a:dk1>
      <a:lt1>
        <a:sysClr val="window" lastClr="FFFFFF"/>
      </a:lt1>
      <a:dk2>
        <a:srgbClr val="589199"/>
      </a:dk2>
      <a:lt2>
        <a:srgbClr val="EEF4F5"/>
      </a:lt2>
      <a:accent1>
        <a:srgbClr val="9886BA"/>
      </a:accent1>
      <a:accent2>
        <a:srgbClr val="8F96BC"/>
      </a:accent2>
      <a:accent3>
        <a:srgbClr val="8F9390"/>
      </a:accent3>
      <a:accent4>
        <a:srgbClr val="BEAE82"/>
      </a:accent4>
      <a:accent5>
        <a:srgbClr val="BE8EA9"/>
      </a:accent5>
      <a:accent6>
        <a:srgbClr val="95B3C2"/>
      </a:accent6>
      <a:hlink>
        <a:srgbClr val="000000"/>
      </a:hlink>
      <a:folHlink>
        <a:srgbClr val="000000"/>
      </a:folHlink>
    </a:clrScheme>
    <a:fontScheme name="TCPA_FONTS_2022">
      <a:majorFont>
        <a:latin typeface="Arial Nov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BB5F774860A48AC875FFCB7000841" ma:contentTypeVersion="18" ma:contentTypeDescription="Create a new document." ma:contentTypeScope="" ma:versionID="cf8ba983341db962c794cd9b4ee4defd">
  <xsd:schema xmlns:xsd="http://www.w3.org/2001/XMLSchema" xmlns:xs="http://www.w3.org/2001/XMLSchema" xmlns:p="http://schemas.microsoft.com/office/2006/metadata/properties" xmlns:ns2="30b90145-2ae6-4ef3-8eae-01fced746719" xmlns:ns3="64ece797-f746-4535-b728-aa82984fdbaa" targetNamespace="http://schemas.microsoft.com/office/2006/metadata/properties" ma:root="true" ma:fieldsID="c8f4e59796f16bf5cb6317f78c75406a" ns2:_="" ns3:_="">
    <xsd:import namespace="30b90145-2ae6-4ef3-8eae-01fced746719"/>
    <xsd:import namespace="64ece797-f746-4535-b728-aa82984fdb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90145-2ae6-4ef3-8eae-01fced746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87f65-0430-4d52-98a5-07a15d3ec40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ce797-f746-4535-b728-aa82984fdb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0e7960-feaf-450f-9f32-d22f01fc3d33}" ma:internalName="TaxCatchAll" ma:showField="CatchAllData" ma:web="64ece797-f746-4535-b728-aa82984fdb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b90145-2ae6-4ef3-8eae-01fced746719">
      <Terms xmlns="http://schemas.microsoft.com/office/infopath/2007/PartnerControls"/>
    </lcf76f155ced4ddcb4097134ff3c332f>
    <TaxCatchAll xmlns="64ece797-f746-4535-b728-aa82984fdb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2866C-1860-4D1A-B211-B75A62AE8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90145-2ae6-4ef3-8eae-01fced746719"/>
    <ds:schemaRef ds:uri="64ece797-f746-4535-b728-aa82984fd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C2BE8-717A-4349-ADD6-2BAB3D1ED8D7}">
  <ds:schemaRefs>
    <ds:schemaRef ds:uri="http://schemas.microsoft.com/sharepoint/v3/contenttype/forms"/>
  </ds:schemaRefs>
</ds:datastoreItem>
</file>

<file path=customXml/itemProps3.xml><?xml version="1.0" encoding="utf-8"?>
<ds:datastoreItem xmlns:ds="http://schemas.openxmlformats.org/officeDocument/2006/customXml" ds:itemID="{A377AFB3-10CF-4261-BB9D-3D594E6FE5B2}">
  <ds:schemaRefs>
    <ds:schemaRef ds:uri="http://schemas.microsoft.com/office/infopath/2007/PartnerControls"/>
    <ds:schemaRef ds:uri="http://www.w3.org/XML/1998/namespace"/>
    <ds:schemaRef ds:uri="http://schemas.microsoft.com/office/2006/documentManagement/types"/>
    <ds:schemaRef ds:uri="64ece797-f746-4535-b728-aa82984fdbaa"/>
    <ds:schemaRef ds:uri="http://purl.org/dc/terms/"/>
    <ds:schemaRef ds:uri="http://purl.org/dc/elements/1.1/"/>
    <ds:schemaRef ds:uri="30b90145-2ae6-4ef3-8eae-01fced746719"/>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F180976-C59E-4500-84CE-03C9E071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Links>
    <vt:vector size="480" baseType="variant">
      <vt:variant>
        <vt:i4>4194381</vt:i4>
      </vt:variant>
      <vt:variant>
        <vt:i4>0</vt:i4>
      </vt:variant>
      <vt:variant>
        <vt:i4>0</vt:i4>
      </vt:variant>
      <vt:variant>
        <vt:i4>5</vt:i4>
      </vt:variant>
      <vt:variant>
        <vt:lpwstr>https://www.tcpa.org.uk/permitted-development</vt:lpwstr>
      </vt:variant>
      <vt:variant>
        <vt:lpwstr/>
      </vt:variant>
      <vt:variant>
        <vt:i4>4325466</vt:i4>
      </vt:variant>
      <vt:variant>
        <vt:i4>234</vt:i4>
      </vt:variant>
      <vt:variant>
        <vt:i4>0</vt:i4>
      </vt:variant>
      <vt:variant>
        <vt:i4>5</vt:i4>
      </vt:variant>
      <vt:variant>
        <vt:lpwstr>https://www.gov.uk/government/statistical-data-sets/live-tables-on-net-supply-of-housing</vt:lpwstr>
      </vt:variant>
      <vt:variant>
        <vt:lpwstr/>
      </vt:variant>
      <vt:variant>
        <vt:i4>4325466</vt:i4>
      </vt:variant>
      <vt:variant>
        <vt:i4>231</vt:i4>
      </vt:variant>
      <vt:variant>
        <vt:i4>0</vt:i4>
      </vt:variant>
      <vt:variant>
        <vt:i4>5</vt:i4>
      </vt:variant>
      <vt:variant>
        <vt:lpwstr>https://www.gov.uk/government/statistical-data-sets/live-tables-on-net-supply-of-housing</vt:lpwstr>
      </vt:variant>
      <vt:variant>
        <vt:lpwstr/>
      </vt:variant>
      <vt:variant>
        <vt:i4>4325466</vt:i4>
      </vt:variant>
      <vt:variant>
        <vt:i4>228</vt:i4>
      </vt:variant>
      <vt:variant>
        <vt:i4>0</vt:i4>
      </vt:variant>
      <vt:variant>
        <vt:i4>5</vt:i4>
      </vt:variant>
      <vt:variant>
        <vt:lpwstr>https://www.gov.uk/government/statistical-data-sets/live-tables-on-net-supply-of-housing</vt:lpwstr>
      </vt:variant>
      <vt:variant>
        <vt:lpwstr/>
      </vt:variant>
      <vt:variant>
        <vt:i4>4325466</vt:i4>
      </vt:variant>
      <vt:variant>
        <vt:i4>225</vt:i4>
      </vt:variant>
      <vt:variant>
        <vt:i4>0</vt:i4>
      </vt:variant>
      <vt:variant>
        <vt:i4>5</vt:i4>
      </vt:variant>
      <vt:variant>
        <vt:lpwstr>https://www.gov.uk/government/statistical-data-sets/live-tables-on-net-supply-of-housing</vt:lpwstr>
      </vt:variant>
      <vt:variant>
        <vt:lpwstr/>
      </vt:variant>
      <vt:variant>
        <vt:i4>4325466</vt:i4>
      </vt:variant>
      <vt:variant>
        <vt:i4>222</vt:i4>
      </vt:variant>
      <vt:variant>
        <vt:i4>0</vt:i4>
      </vt:variant>
      <vt:variant>
        <vt:i4>5</vt:i4>
      </vt:variant>
      <vt:variant>
        <vt:lpwstr>https://www.gov.uk/government/statistical-data-sets/live-tables-on-net-supply-of-housing</vt:lpwstr>
      </vt:variant>
      <vt:variant>
        <vt:lpwstr/>
      </vt:variant>
      <vt:variant>
        <vt:i4>4325466</vt:i4>
      </vt:variant>
      <vt:variant>
        <vt:i4>219</vt:i4>
      </vt:variant>
      <vt:variant>
        <vt:i4>0</vt:i4>
      </vt:variant>
      <vt:variant>
        <vt:i4>5</vt:i4>
      </vt:variant>
      <vt:variant>
        <vt:lpwstr>https://www.gov.uk/government/statistical-data-sets/live-tables-on-net-supply-of-housing</vt:lpwstr>
      </vt:variant>
      <vt:variant>
        <vt:lpwstr/>
      </vt:variant>
      <vt:variant>
        <vt:i4>4325466</vt:i4>
      </vt:variant>
      <vt:variant>
        <vt:i4>216</vt:i4>
      </vt:variant>
      <vt:variant>
        <vt:i4>0</vt:i4>
      </vt:variant>
      <vt:variant>
        <vt:i4>5</vt:i4>
      </vt:variant>
      <vt:variant>
        <vt:lpwstr>https://www.gov.uk/government/statistical-data-sets/live-tables-on-net-supply-of-housing</vt:lpwstr>
      </vt:variant>
      <vt:variant>
        <vt:lpwstr/>
      </vt:variant>
      <vt:variant>
        <vt:i4>4325466</vt:i4>
      </vt:variant>
      <vt:variant>
        <vt:i4>213</vt:i4>
      </vt:variant>
      <vt:variant>
        <vt:i4>0</vt:i4>
      </vt:variant>
      <vt:variant>
        <vt:i4>5</vt:i4>
      </vt:variant>
      <vt:variant>
        <vt:lpwstr>https://www.gov.uk/government/statistical-data-sets/live-tables-on-net-supply-of-housing</vt:lpwstr>
      </vt:variant>
      <vt:variant>
        <vt:lpwstr/>
      </vt:variant>
      <vt:variant>
        <vt:i4>4325466</vt:i4>
      </vt:variant>
      <vt:variant>
        <vt:i4>210</vt:i4>
      </vt:variant>
      <vt:variant>
        <vt:i4>0</vt:i4>
      </vt:variant>
      <vt:variant>
        <vt:i4>5</vt:i4>
      </vt:variant>
      <vt:variant>
        <vt:lpwstr>https://www.gov.uk/government/statistical-data-sets/live-tables-on-net-supply-of-housing</vt:lpwstr>
      </vt:variant>
      <vt:variant>
        <vt:lpwstr/>
      </vt:variant>
      <vt:variant>
        <vt:i4>4325466</vt:i4>
      </vt:variant>
      <vt:variant>
        <vt:i4>207</vt:i4>
      </vt:variant>
      <vt:variant>
        <vt:i4>0</vt:i4>
      </vt:variant>
      <vt:variant>
        <vt:i4>5</vt:i4>
      </vt:variant>
      <vt:variant>
        <vt:lpwstr>https://www.gov.uk/government/statistical-data-sets/live-tables-on-net-supply-of-housing</vt:lpwstr>
      </vt:variant>
      <vt:variant>
        <vt:lpwstr/>
      </vt:variant>
      <vt:variant>
        <vt:i4>4325466</vt:i4>
      </vt:variant>
      <vt:variant>
        <vt:i4>204</vt:i4>
      </vt:variant>
      <vt:variant>
        <vt:i4>0</vt:i4>
      </vt:variant>
      <vt:variant>
        <vt:i4>5</vt:i4>
      </vt:variant>
      <vt:variant>
        <vt:lpwstr>https://www.gov.uk/government/statistical-data-sets/live-tables-on-net-supply-of-housing</vt:lpwstr>
      </vt:variant>
      <vt:variant>
        <vt:lpwstr/>
      </vt:variant>
      <vt:variant>
        <vt:i4>4325466</vt:i4>
      </vt:variant>
      <vt:variant>
        <vt:i4>201</vt:i4>
      </vt:variant>
      <vt:variant>
        <vt:i4>0</vt:i4>
      </vt:variant>
      <vt:variant>
        <vt:i4>5</vt:i4>
      </vt:variant>
      <vt:variant>
        <vt:lpwstr>https://www.gov.uk/government/statistical-data-sets/live-tables-on-net-supply-of-housing</vt:lpwstr>
      </vt:variant>
      <vt:variant>
        <vt:lpwstr/>
      </vt:variant>
      <vt:variant>
        <vt:i4>4325466</vt:i4>
      </vt:variant>
      <vt:variant>
        <vt:i4>198</vt:i4>
      </vt:variant>
      <vt:variant>
        <vt:i4>0</vt:i4>
      </vt:variant>
      <vt:variant>
        <vt:i4>5</vt:i4>
      </vt:variant>
      <vt:variant>
        <vt:lpwstr>https://www.gov.uk/government/statistical-data-sets/live-tables-on-net-supply-of-housing</vt:lpwstr>
      </vt:variant>
      <vt:variant>
        <vt:lpwstr/>
      </vt:variant>
      <vt:variant>
        <vt:i4>4325466</vt:i4>
      </vt:variant>
      <vt:variant>
        <vt:i4>195</vt:i4>
      </vt:variant>
      <vt:variant>
        <vt:i4>0</vt:i4>
      </vt:variant>
      <vt:variant>
        <vt:i4>5</vt:i4>
      </vt:variant>
      <vt:variant>
        <vt:lpwstr>https://www.gov.uk/government/statistical-data-sets/live-tables-on-net-supply-of-housing</vt:lpwstr>
      </vt:variant>
      <vt:variant>
        <vt:lpwstr/>
      </vt:variant>
      <vt:variant>
        <vt:i4>4325466</vt:i4>
      </vt:variant>
      <vt:variant>
        <vt:i4>192</vt:i4>
      </vt:variant>
      <vt:variant>
        <vt:i4>0</vt:i4>
      </vt:variant>
      <vt:variant>
        <vt:i4>5</vt:i4>
      </vt:variant>
      <vt:variant>
        <vt:lpwstr>https://www.gov.uk/government/statistical-data-sets/live-tables-on-net-supply-of-housing</vt:lpwstr>
      </vt:variant>
      <vt:variant>
        <vt:lpwstr/>
      </vt:variant>
      <vt:variant>
        <vt:i4>4325466</vt:i4>
      </vt:variant>
      <vt:variant>
        <vt:i4>189</vt:i4>
      </vt:variant>
      <vt:variant>
        <vt:i4>0</vt:i4>
      </vt:variant>
      <vt:variant>
        <vt:i4>5</vt:i4>
      </vt:variant>
      <vt:variant>
        <vt:lpwstr>https://www.gov.uk/government/statistical-data-sets/live-tables-on-net-supply-of-housing</vt:lpwstr>
      </vt:variant>
      <vt:variant>
        <vt:lpwstr/>
      </vt:variant>
      <vt:variant>
        <vt:i4>4325466</vt:i4>
      </vt:variant>
      <vt:variant>
        <vt:i4>186</vt:i4>
      </vt:variant>
      <vt:variant>
        <vt:i4>0</vt:i4>
      </vt:variant>
      <vt:variant>
        <vt:i4>5</vt:i4>
      </vt:variant>
      <vt:variant>
        <vt:lpwstr>https://www.gov.uk/government/statistical-data-sets/live-tables-on-net-supply-of-housing</vt:lpwstr>
      </vt:variant>
      <vt:variant>
        <vt:lpwstr/>
      </vt:variant>
      <vt:variant>
        <vt:i4>4325466</vt:i4>
      </vt:variant>
      <vt:variant>
        <vt:i4>183</vt:i4>
      </vt:variant>
      <vt:variant>
        <vt:i4>0</vt:i4>
      </vt:variant>
      <vt:variant>
        <vt:i4>5</vt:i4>
      </vt:variant>
      <vt:variant>
        <vt:lpwstr>https://www.gov.uk/government/statistical-data-sets/live-tables-on-net-supply-of-housing</vt:lpwstr>
      </vt:variant>
      <vt:variant>
        <vt:lpwstr/>
      </vt:variant>
      <vt:variant>
        <vt:i4>7209083</vt:i4>
      </vt:variant>
      <vt:variant>
        <vt:i4>180</vt:i4>
      </vt:variant>
      <vt:variant>
        <vt:i4>0</vt:i4>
      </vt:variant>
      <vt:variant>
        <vt:i4>5</vt:i4>
      </vt:variant>
      <vt:variant>
        <vt:lpwstr>https://www.uclpdhousing.co.uk/</vt:lpwstr>
      </vt:variant>
      <vt:variant>
        <vt:lpwstr/>
      </vt:variant>
      <vt:variant>
        <vt:i4>7929958</vt:i4>
      </vt:variant>
      <vt:variant>
        <vt:i4>177</vt:i4>
      </vt:variant>
      <vt:variant>
        <vt:i4>0</vt:i4>
      </vt:variant>
      <vt:variant>
        <vt:i4>5</vt:i4>
      </vt:variant>
      <vt:variant>
        <vt:lpwstr>https://api.semanticscholar.org/CorpusID:268624299</vt:lpwstr>
      </vt:variant>
      <vt:variant>
        <vt:lpwstr/>
      </vt:variant>
      <vt:variant>
        <vt:i4>7929958</vt:i4>
      </vt:variant>
      <vt:variant>
        <vt:i4>174</vt:i4>
      </vt:variant>
      <vt:variant>
        <vt:i4>0</vt:i4>
      </vt:variant>
      <vt:variant>
        <vt:i4>5</vt:i4>
      </vt:variant>
      <vt:variant>
        <vt:lpwstr>https://api.semanticscholar.org/CorpusID:268624299</vt:lpwstr>
      </vt:variant>
      <vt:variant>
        <vt:lpwstr/>
      </vt:variant>
      <vt:variant>
        <vt:i4>3407919</vt:i4>
      </vt:variant>
      <vt:variant>
        <vt:i4>171</vt:i4>
      </vt:variant>
      <vt:variant>
        <vt:i4>0</vt:i4>
      </vt:variant>
      <vt:variant>
        <vt:i4>5</vt:i4>
      </vt:variant>
      <vt:variant>
        <vt:lpwstr>https://insidecroydon.com/2019/08/23/residents-living-in-fear-of-fire-in-three-council-run-housing-blocks/</vt:lpwstr>
      </vt:variant>
      <vt:variant>
        <vt:lpwstr/>
      </vt:variant>
      <vt:variant>
        <vt:i4>3407919</vt:i4>
      </vt:variant>
      <vt:variant>
        <vt:i4>168</vt:i4>
      </vt:variant>
      <vt:variant>
        <vt:i4>0</vt:i4>
      </vt:variant>
      <vt:variant>
        <vt:i4>5</vt:i4>
      </vt:variant>
      <vt:variant>
        <vt:lpwstr>https://insidecroydon.com/2019/08/23/residents-living-in-fear-of-fire-in-three-council-run-housing-blocks/</vt:lpwstr>
      </vt:variant>
      <vt:variant>
        <vt:lpwstr/>
      </vt:variant>
      <vt:variant>
        <vt:i4>3407919</vt:i4>
      </vt:variant>
      <vt:variant>
        <vt:i4>165</vt:i4>
      </vt:variant>
      <vt:variant>
        <vt:i4>0</vt:i4>
      </vt:variant>
      <vt:variant>
        <vt:i4>5</vt:i4>
      </vt:variant>
      <vt:variant>
        <vt:lpwstr>https://insidecroydon.com/2019/08/23/residents-living-in-fear-of-fire-in-three-council-run-housing-blocks/</vt:lpwstr>
      </vt:variant>
      <vt:variant>
        <vt:lpwstr/>
      </vt:variant>
      <vt:variant>
        <vt:i4>3407919</vt:i4>
      </vt:variant>
      <vt:variant>
        <vt:i4>162</vt:i4>
      </vt:variant>
      <vt:variant>
        <vt:i4>0</vt:i4>
      </vt:variant>
      <vt:variant>
        <vt:i4>5</vt:i4>
      </vt:variant>
      <vt:variant>
        <vt:lpwstr>https://insidecroydon.com/2019/08/23/residents-living-in-fear-of-fire-in-three-council-run-housing-blocks/</vt:lpwstr>
      </vt:variant>
      <vt:variant>
        <vt:lpwstr/>
      </vt:variant>
      <vt:variant>
        <vt:i4>3407919</vt:i4>
      </vt:variant>
      <vt:variant>
        <vt:i4>159</vt:i4>
      </vt:variant>
      <vt:variant>
        <vt:i4>0</vt:i4>
      </vt:variant>
      <vt:variant>
        <vt:i4>5</vt:i4>
      </vt:variant>
      <vt:variant>
        <vt:lpwstr>https://insidecroydon.com/2019/08/23/residents-living-in-fear-of-fire-in-three-council-run-housing-blocks/</vt:lpwstr>
      </vt:variant>
      <vt:variant>
        <vt:lpwstr/>
      </vt:variant>
      <vt:variant>
        <vt:i4>3407919</vt:i4>
      </vt:variant>
      <vt:variant>
        <vt:i4>156</vt:i4>
      </vt:variant>
      <vt:variant>
        <vt:i4>0</vt:i4>
      </vt:variant>
      <vt:variant>
        <vt:i4>5</vt:i4>
      </vt:variant>
      <vt:variant>
        <vt:lpwstr>https://insidecroydon.com/2019/08/23/residents-living-in-fear-of-fire-in-three-council-run-housing-blocks/</vt:lpwstr>
      </vt:variant>
      <vt:variant>
        <vt:lpwstr/>
      </vt:variant>
      <vt:variant>
        <vt:i4>3407919</vt:i4>
      </vt:variant>
      <vt:variant>
        <vt:i4>153</vt:i4>
      </vt:variant>
      <vt:variant>
        <vt:i4>0</vt:i4>
      </vt:variant>
      <vt:variant>
        <vt:i4>5</vt:i4>
      </vt:variant>
      <vt:variant>
        <vt:lpwstr>https://insidecroydon.com/2019/08/23/residents-living-in-fear-of-fire-in-three-council-run-housing-blocks/</vt:lpwstr>
      </vt:variant>
      <vt:variant>
        <vt:lpwstr/>
      </vt:variant>
      <vt:variant>
        <vt:i4>3407919</vt:i4>
      </vt:variant>
      <vt:variant>
        <vt:i4>150</vt:i4>
      </vt:variant>
      <vt:variant>
        <vt:i4>0</vt:i4>
      </vt:variant>
      <vt:variant>
        <vt:i4>5</vt:i4>
      </vt:variant>
      <vt:variant>
        <vt:lpwstr>https://insidecroydon.com/2019/08/23/residents-living-in-fear-of-fire-in-three-council-run-housing-blocks/</vt:lpwstr>
      </vt:variant>
      <vt:variant>
        <vt:lpwstr/>
      </vt:variant>
      <vt:variant>
        <vt:i4>3407919</vt:i4>
      </vt:variant>
      <vt:variant>
        <vt:i4>147</vt:i4>
      </vt:variant>
      <vt:variant>
        <vt:i4>0</vt:i4>
      </vt:variant>
      <vt:variant>
        <vt:i4>5</vt:i4>
      </vt:variant>
      <vt:variant>
        <vt:lpwstr>https://insidecroydon.com/2019/08/23/residents-living-in-fear-of-fire-in-three-council-run-housing-blocks/</vt:lpwstr>
      </vt:variant>
      <vt:variant>
        <vt:lpwstr/>
      </vt:variant>
      <vt:variant>
        <vt:i4>3407919</vt:i4>
      </vt:variant>
      <vt:variant>
        <vt:i4>144</vt:i4>
      </vt:variant>
      <vt:variant>
        <vt:i4>0</vt:i4>
      </vt:variant>
      <vt:variant>
        <vt:i4>5</vt:i4>
      </vt:variant>
      <vt:variant>
        <vt:lpwstr>https://insidecroydon.com/2019/08/23/residents-living-in-fear-of-fire-in-three-council-run-housing-blocks/</vt:lpwstr>
      </vt:variant>
      <vt:variant>
        <vt:lpwstr/>
      </vt:variant>
      <vt:variant>
        <vt:i4>3407919</vt:i4>
      </vt:variant>
      <vt:variant>
        <vt:i4>141</vt:i4>
      </vt:variant>
      <vt:variant>
        <vt:i4>0</vt:i4>
      </vt:variant>
      <vt:variant>
        <vt:i4>5</vt:i4>
      </vt:variant>
      <vt:variant>
        <vt:lpwstr>https://insidecroydon.com/2019/08/23/residents-living-in-fear-of-fire-in-three-council-run-housing-blocks/</vt:lpwstr>
      </vt:variant>
      <vt:variant>
        <vt:lpwstr/>
      </vt:variant>
      <vt:variant>
        <vt:i4>3407919</vt:i4>
      </vt:variant>
      <vt:variant>
        <vt:i4>138</vt:i4>
      </vt:variant>
      <vt:variant>
        <vt:i4>0</vt:i4>
      </vt:variant>
      <vt:variant>
        <vt:i4>5</vt:i4>
      </vt:variant>
      <vt:variant>
        <vt:lpwstr>https://insidecroydon.com/2019/08/23/residents-living-in-fear-of-fire-in-three-council-run-housing-blocks/</vt:lpwstr>
      </vt:variant>
      <vt:variant>
        <vt:lpwstr/>
      </vt:variant>
      <vt:variant>
        <vt:i4>3407919</vt:i4>
      </vt:variant>
      <vt:variant>
        <vt:i4>135</vt:i4>
      </vt:variant>
      <vt:variant>
        <vt:i4>0</vt:i4>
      </vt:variant>
      <vt:variant>
        <vt:i4>5</vt:i4>
      </vt:variant>
      <vt:variant>
        <vt:lpwstr>https://insidecroydon.com/2019/08/23/residents-living-in-fear-of-fire-in-three-council-run-housing-blocks/</vt:lpwstr>
      </vt:variant>
      <vt:variant>
        <vt:lpwstr/>
      </vt:variant>
      <vt:variant>
        <vt:i4>3407919</vt:i4>
      </vt:variant>
      <vt:variant>
        <vt:i4>132</vt:i4>
      </vt:variant>
      <vt:variant>
        <vt:i4>0</vt:i4>
      </vt:variant>
      <vt:variant>
        <vt:i4>5</vt:i4>
      </vt:variant>
      <vt:variant>
        <vt:lpwstr>https://insidecroydon.com/2019/08/23/residents-living-in-fear-of-fire-in-three-council-run-housing-blocks/</vt:lpwstr>
      </vt:variant>
      <vt:variant>
        <vt:lpwstr/>
      </vt:variant>
      <vt:variant>
        <vt:i4>3407919</vt:i4>
      </vt:variant>
      <vt:variant>
        <vt:i4>129</vt:i4>
      </vt:variant>
      <vt:variant>
        <vt:i4>0</vt:i4>
      </vt:variant>
      <vt:variant>
        <vt:i4>5</vt:i4>
      </vt:variant>
      <vt:variant>
        <vt:lpwstr>https://insidecroydon.com/2019/08/23/residents-living-in-fear-of-fire-in-three-council-run-housing-blocks/</vt:lpwstr>
      </vt:variant>
      <vt:variant>
        <vt:lpwstr/>
      </vt:variant>
      <vt:variant>
        <vt:i4>3407919</vt:i4>
      </vt:variant>
      <vt:variant>
        <vt:i4>126</vt:i4>
      </vt:variant>
      <vt:variant>
        <vt:i4>0</vt:i4>
      </vt:variant>
      <vt:variant>
        <vt:i4>5</vt:i4>
      </vt:variant>
      <vt:variant>
        <vt:lpwstr>https://insidecroydon.com/2019/08/23/residents-living-in-fear-of-fire-in-three-council-run-housing-blocks/</vt:lpwstr>
      </vt:variant>
      <vt:variant>
        <vt:lpwstr/>
      </vt:variant>
      <vt:variant>
        <vt:i4>3407919</vt:i4>
      </vt:variant>
      <vt:variant>
        <vt:i4>123</vt:i4>
      </vt:variant>
      <vt:variant>
        <vt:i4>0</vt:i4>
      </vt:variant>
      <vt:variant>
        <vt:i4>5</vt:i4>
      </vt:variant>
      <vt:variant>
        <vt:lpwstr>https://insidecroydon.com/2019/08/23/residents-living-in-fear-of-fire-in-three-council-run-housing-blocks/</vt:lpwstr>
      </vt:variant>
      <vt:variant>
        <vt:lpwstr/>
      </vt:variant>
      <vt:variant>
        <vt:i4>3407919</vt:i4>
      </vt:variant>
      <vt:variant>
        <vt:i4>120</vt:i4>
      </vt:variant>
      <vt:variant>
        <vt:i4>0</vt:i4>
      </vt:variant>
      <vt:variant>
        <vt:i4>5</vt:i4>
      </vt:variant>
      <vt:variant>
        <vt:lpwstr>https://insidecroydon.com/2019/08/23/residents-living-in-fear-of-fire-in-three-council-run-housing-blocks/</vt:lpwstr>
      </vt:variant>
      <vt:variant>
        <vt:lpwstr/>
      </vt:variant>
      <vt:variant>
        <vt:i4>3407919</vt:i4>
      </vt:variant>
      <vt:variant>
        <vt:i4>117</vt:i4>
      </vt:variant>
      <vt:variant>
        <vt:i4>0</vt:i4>
      </vt:variant>
      <vt:variant>
        <vt:i4>5</vt:i4>
      </vt:variant>
      <vt:variant>
        <vt:lpwstr>https://insidecroydon.com/2019/08/23/residents-living-in-fear-of-fire-in-three-council-run-housing-blocks/</vt:lpwstr>
      </vt:variant>
      <vt:variant>
        <vt:lpwstr/>
      </vt:variant>
      <vt:variant>
        <vt:i4>3407919</vt:i4>
      </vt:variant>
      <vt:variant>
        <vt:i4>114</vt:i4>
      </vt:variant>
      <vt:variant>
        <vt:i4>0</vt:i4>
      </vt:variant>
      <vt:variant>
        <vt:i4>5</vt:i4>
      </vt:variant>
      <vt:variant>
        <vt:lpwstr>https://insidecroydon.com/2019/08/23/residents-living-in-fear-of-fire-in-three-council-run-housing-blocks/</vt:lpwstr>
      </vt:variant>
      <vt:variant>
        <vt:lpwstr/>
      </vt:variant>
      <vt:variant>
        <vt:i4>3407919</vt:i4>
      </vt:variant>
      <vt:variant>
        <vt:i4>111</vt:i4>
      </vt:variant>
      <vt:variant>
        <vt:i4>0</vt:i4>
      </vt:variant>
      <vt:variant>
        <vt:i4>5</vt:i4>
      </vt:variant>
      <vt:variant>
        <vt:lpwstr>https://insidecroydon.com/2019/08/23/residents-living-in-fear-of-fire-in-three-council-run-housing-blocks/</vt:lpwstr>
      </vt:variant>
      <vt:variant>
        <vt:lpwstr/>
      </vt:variant>
      <vt:variant>
        <vt:i4>3407919</vt:i4>
      </vt:variant>
      <vt:variant>
        <vt:i4>108</vt:i4>
      </vt:variant>
      <vt:variant>
        <vt:i4>0</vt:i4>
      </vt:variant>
      <vt:variant>
        <vt:i4>5</vt:i4>
      </vt:variant>
      <vt:variant>
        <vt:lpwstr>https://insidecroydon.com/2019/08/23/residents-living-in-fear-of-fire-in-three-council-run-housing-blocks/</vt:lpwstr>
      </vt:variant>
      <vt:variant>
        <vt:lpwstr/>
      </vt:variant>
      <vt:variant>
        <vt:i4>3407919</vt:i4>
      </vt:variant>
      <vt:variant>
        <vt:i4>105</vt:i4>
      </vt:variant>
      <vt:variant>
        <vt:i4>0</vt:i4>
      </vt:variant>
      <vt:variant>
        <vt:i4>5</vt:i4>
      </vt:variant>
      <vt:variant>
        <vt:lpwstr>https://insidecroydon.com/2019/08/23/residents-living-in-fear-of-fire-in-three-council-run-housing-blocks/</vt:lpwstr>
      </vt:variant>
      <vt:variant>
        <vt:lpwstr/>
      </vt:variant>
      <vt:variant>
        <vt:i4>3407919</vt:i4>
      </vt:variant>
      <vt:variant>
        <vt:i4>102</vt:i4>
      </vt:variant>
      <vt:variant>
        <vt:i4>0</vt:i4>
      </vt:variant>
      <vt:variant>
        <vt:i4>5</vt:i4>
      </vt:variant>
      <vt:variant>
        <vt:lpwstr>https://insidecroydon.com/2019/08/23/residents-living-in-fear-of-fire-in-three-council-run-housing-blocks/</vt:lpwstr>
      </vt:variant>
      <vt:variant>
        <vt:lpwstr/>
      </vt:variant>
      <vt:variant>
        <vt:i4>4456543</vt:i4>
      </vt:variant>
      <vt:variant>
        <vt:i4>99</vt:i4>
      </vt:variant>
      <vt:variant>
        <vt:i4>0</vt:i4>
      </vt:variant>
      <vt:variant>
        <vt:i4>5</vt:i4>
      </vt:variant>
      <vt:variant>
        <vt:lpwstr>http://www.tcpa.org.uk/these-are-homes-photobook</vt:lpwstr>
      </vt:variant>
      <vt:variant>
        <vt:lpwstr/>
      </vt:variant>
      <vt:variant>
        <vt:i4>4456543</vt:i4>
      </vt:variant>
      <vt:variant>
        <vt:i4>96</vt:i4>
      </vt:variant>
      <vt:variant>
        <vt:i4>0</vt:i4>
      </vt:variant>
      <vt:variant>
        <vt:i4>5</vt:i4>
      </vt:variant>
      <vt:variant>
        <vt:lpwstr>http://www.tcpa.org.uk/these-are-homes-photobook</vt:lpwstr>
      </vt:variant>
      <vt:variant>
        <vt:lpwstr/>
      </vt:variant>
      <vt:variant>
        <vt:i4>4456543</vt:i4>
      </vt:variant>
      <vt:variant>
        <vt:i4>93</vt:i4>
      </vt:variant>
      <vt:variant>
        <vt:i4>0</vt:i4>
      </vt:variant>
      <vt:variant>
        <vt:i4>5</vt:i4>
      </vt:variant>
      <vt:variant>
        <vt:lpwstr>http://www.tcpa.org.uk/these-are-homes-photobook</vt:lpwstr>
      </vt:variant>
      <vt:variant>
        <vt:lpwstr/>
      </vt:variant>
      <vt:variant>
        <vt:i4>4456543</vt:i4>
      </vt:variant>
      <vt:variant>
        <vt:i4>90</vt:i4>
      </vt:variant>
      <vt:variant>
        <vt:i4>0</vt:i4>
      </vt:variant>
      <vt:variant>
        <vt:i4>5</vt:i4>
      </vt:variant>
      <vt:variant>
        <vt:lpwstr>http://www.tcpa.org.uk/these-are-homes-photobook</vt:lpwstr>
      </vt:variant>
      <vt:variant>
        <vt:lpwstr/>
      </vt:variant>
      <vt:variant>
        <vt:i4>4456543</vt:i4>
      </vt:variant>
      <vt:variant>
        <vt:i4>87</vt:i4>
      </vt:variant>
      <vt:variant>
        <vt:i4>0</vt:i4>
      </vt:variant>
      <vt:variant>
        <vt:i4>5</vt:i4>
      </vt:variant>
      <vt:variant>
        <vt:lpwstr>http://www.tcpa.org.uk/these-are-homes-photobook</vt:lpwstr>
      </vt:variant>
      <vt:variant>
        <vt:lpwstr/>
      </vt:variant>
      <vt:variant>
        <vt:i4>4456543</vt:i4>
      </vt:variant>
      <vt:variant>
        <vt:i4>84</vt:i4>
      </vt:variant>
      <vt:variant>
        <vt:i4>0</vt:i4>
      </vt:variant>
      <vt:variant>
        <vt:i4>5</vt:i4>
      </vt:variant>
      <vt:variant>
        <vt:lpwstr>http://www.tcpa.org.uk/these-are-homes-photobook</vt:lpwstr>
      </vt:variant>
      <vt:variant>
        <vt:lpwstr/>
      </vt:variant>
      <vt:variant>
        <vt:i4>4456543</vt:i4>
      </vt:variant>
      <vt:variant>
        <vt:i4>81</vt:i4>
      </vt:variant>
      <vt:variant>
        <vt:i4>0</vt:i4>
      </vt:variant>
      <vt:variant>
        <vt:i4>5</vt:i4>
      </vt:variant>
      <vt:variant>
        <vt:lpwstr>http://www.tcpa.org.uk/these-are-homes-photobook</vt:lpwstr>
      </vt:variant>
      <vt:variant>
        <vt:lpwstr/>
      </vt:variant>
      <vt:variant>
        <vt:i4>4456543</vt:i4>
      </vt:variant>
      <vt:variant>
        <vt:i4>78</vt:i4>
      </vt:variant>
      <vt:variant>
        <vt:i4>0</vt:i4>
      </vt:variant>
      <vt:variant>
        <vt:i4>5</vt:i4>
      </vt:variant>
      <vt:variant>
        <vt:lpwstr>http://www.tcpa.org.uk/these-are-homes-photobook</vt:lpwstr>
      </vt:variant>
      <vt:variant>
        <vt:lpwstr/>
      </vt:variant>
      <vt:variant>
        <vt:i4>6160511</vt:i4>
      </vt:variant>
      <vt:variant>
        <vt:i4>75</vt:i4>
      </vt:variant>
      <vt:variant>
        <vt:i4>0</vt:i4>
      </vt:variant>
      <vt:variant>
        <vt:i4>5</vt:i4>
      </vt:variant>
      <vt:variant>
        <vt:lpwstr>https://assets.publishing.service.gov.uk/government/uploads/system/uploads/attachment_data/file/902220/Research_report_quality_PDR_homes.pdf</vt:lpwstr>
      </vt:variant>
      <vt:variant>
        <vt:lpwstr/>
      </vt:variant>
      <vt:variant>
        <vt:i4>6160511</vt:i4>
      </vt:variant>
      <vt:variant>
        <vt:i4>72</vt:i4>
      </vt:variant>
      <vt:variant>
        <vt:i4>0</vt:i4>
      </vt:variant>
      <vt:variant>
        <vt:i4>5</vt:i4>
      </vt:variant>
      <vt:variant>
        <vt:lpwstr>https://assets.publishing.service.gov.uk/government/uploads/system/uploads/attachment_data/file/902220/Research_report_quality_PDR_homes.pdf</vt:lpwstr>
      </vt:variant>
      <vt:variant>
        <vt:lpwstr/>
      </vt:variant>
      <vt:variant>
        <vt:i4>589904</vt:i4>
      </vt:variant>
      <vt:variant>
        <vt:i4>69</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66</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63</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60</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57</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54</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51</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48</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45</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42</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39</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36</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33</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30</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27</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24</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21</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18</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15</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12</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9</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6</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3</vt:i4>
      </vt:variant>
      <vt:variant>
        <vt:i4>0</vt:i4>
      </vt:variant>
      <vt:variant>
        <vt:i4>5</vt:i4>
      </vt:variant>
      <vt:variant>
        <vt:lpwstr>http://www.tcpa.org.uk/resources/permitted-development-housing-and-health-a-review-of-national-policy-and-regulations</vt:lpwstr>
      </vt:variant>
      <vt:variant>
        <vt:lpwstr/>
      </vt:variant>
      <vt:variant>
        <vt:i4>589904</vt:i4>
      </vt:variant>
      <vt:variant>
        <vt:i4>0</vt:i4>
      </vt:variant>
      <vt:variant>
        <vt:i4>0</vt:i4>
      </vt:variant>
      <vt:variant>
        <vt:i4>5</vt:i4>
      </vt:variant>
      <vt:variant>
        <vt:lpwstr>http://www.tcpa.org.uk/resources/permitted-development-housing-and-health-a-review-of-national-policy-and-regulations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Slade</dc:creator>
  <cp:keywords/>
  <dc:description/>
  <cp:lastModifiedBy>Rosalie Callway</cp:lastModifiedBy>
  <cp:revision>2</cp:revision>
  <cp:lastPrinted>2024-12-11T12:07:00Z</cp:lastPrinted>
  <dcterms:created xsi:type="dcterms:W3CDTF">2024-12-11T15:18:00Z</dcterms:created>
  <dcterms:modified xsi:type="dcterms:W3CDTF">2024-12-11T15:18:00Z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Order">
    <vt:r8>7946400</vt:r8>
  </property>
  <property fmtid="{D5CDD505-2E9C-101B-9397-08002B2CF9AE}" pid="10" name="ContentTypeId">
    <vt:lpwstr>0x010100813BB5F774860A48AC875FFCB7000841</vt:lpwstr>
  </property>
</Properties>
</file>